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ga_multi_threshold_dc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genetic algorithm for optimizing and prioritizing multi-threshold trading strategies in the directional-changes event-based paradigm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surrogate-assisted NSGA-II genetic algorithm that combines and prioritizes recommendations from eight directional-change (DC) strategies profiled across multiple thresholds will produce out-of-sample portfolios with annualized net return &gt;8% and Sharpe ratio &gt;1.0 more often than single-threshold DC baselines after controlling for transaction costs and multiple testing.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genetic algorithms (GAs) and multi-objective methods (e.g., NSGA-II) to tune trading rules and multi-threshold parameters, and uses the directional-changes (DC) event-based paradigm to summarize price action by events instead of fixed time bars (DC: an event when price changes by a threshold). Surrogate-assisted evolution (using Gaussian Processes or ensembles) is used to reduce compute for expensive evaluations. Existing approaches are limited by: (1) weak governance of surrogate bias and retraining rules, risking selection of false positives; (2) inadequate event-folding rules that allow leakage between training and test periods in event-based data; (3) few microstructure-preserving null models for valid hypothesis testing; (4) limited genotype encodings that do not enforce nesting or parsimony for multi-threshold DC strategies. These gaps hinder reproducible, statistically defensible selection of GA-optimized DC strategies.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selecting robust, multi-scale trading rules derived from the directional-changes (DC) event-based market paradigm. We propose a genetic algorithm (GA) that encodes multi-threshold DC strategies as a base-plus-increments genotype (ensuring nested thresholds) and evolves candidates with NSGA-II (a multi-objective evolutionary algorithm that preserves diverse trade-offs). To reduce compute, the GA uses surrogate models (heteroskedastic Gaussian Processes for low-dimension inputs, Random Forest ensembles otherwise) with explicit bias-detection and mandatory periodic full evaluations. Fitness is computed by nested walk-forward evaluation using event-aware folds (inner folds for search and regularization, outer folds for final validation). The main contribution is an integrated, auditable pipeline combining genotype repair rules, mapping fidelity checks to a dense precomputed DC base-grid, microstructure-preserving null-models for hypothesis testing, and numeric surrogate governance. We expect the method to yield statistically robust, out-of-sample trading rules that outperform single-threshold baselines under realistic costs, while providing reproducible artifacts for audit and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tick or intraday trades for 200 NYSE stocks over a multi-year period (e.g., 5–10 years), with corporate-action adjustments and liquidity proxies. Precompute a dense log-spaced DC base-grid scaled by rolling ATR (average true range). Baselines: (A) single-threshold DC heuristic, (B) volatility-scaled threshold heuristic, (C) null portfolio (no directional exposure). GA setup: NSGA-II, population P=300, generations G=150, genotype = base b + nonnegative increments d1..dK; crossover SBX (pc=0.9, ηc=15), polynomial mutation (pm=1/|genotype|, ηm=20). Surrogate policy: heteroskedastic GP when effective input dim ≤20, Random Forest ensemble otherwise; retrain cadence every 200 true-evals or 5 generations; acquisition mix EI+UCB. Evaluation protocol: nested walk-forward with k=3 event-aware inner folds (non-overlapping event blocks with ancestry closure) and outer OOS folds for final validation. Per-candidate mapping checks: |Δthreshold| &lt;1% (or &lt;5% relative for small thresholds), trade-set Jaccard &gt;0.9, objective MSE &lt;5%; failing candidates trigger interpolation/RBF or on-the-fly extraction. Null models: (1) circular block-bootstrap of DC events preserving inter-event times, (2) overshoot resampling conditioned on threshold level. Metrics: annualized net return (after realistic costs), Sharpe ratio, max drawdown, turnover, per-candidate p-values against nulls, Benjamini–Hochberg FDR q-values at q=0.05. Statistical tests: report proportion of runs meeting target gates (net return&gt;8%, Sharpe&gt;1.0, max drawdown&lt;20%), and flag p&lt;0.01 as strong. Ablations: (i) GA with surrogate vs GA full-eval only; (ii) multi-threshold GA vs single-threshold GA; (iii) mapping with interpolation vs on-the-fly extraction. Additional experiments: surrogate governance sensitivity (vary true-eval floor 5%–30%), and multiple-testing control comparison (BH vs online-FDR methods) using simulated adaptive selection to measure empirical Type-I error.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Surrogate bias: surrogate models may mis-rank candidates and increase false positives if predictive uncertainty is underestimated (technical term: surrogate = a fast model that predicts expensive evaluations). Mapping error: approximating arbitrary thresholds by nearest base-grid or interpolation can change trade execution sets, causing P&amp;L divergence. Leakage: improper event-folding can leak information across folds because DC events nest across thresholds (technical term: leakage = training data contains information from test period). Multiple-testing under adaptivity: applying standard BH after an adaptive GA search may not control Type-I error. Compute cost: full true-evaluation of P=300, G=150 is costly (tens of thousands CPU-hours) and requires surrogate fraction to be effective. Power limits: limited data length or rare regimes reduce the ability to detect economically meaningful effects. Generalization: results on 200 NYSE stocks may not transfer to other markets, instruments, or changed microstructure (e.g., spread changes). Edge cases: ancestry-closure can produce imbalanced folds that reduce effective sample size. These risks limit reproducibility and operational deployment if not explicitly audited.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