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hypergraph_ssm_nodecls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networks with state-space models for role-aware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a learnable fusion of role-aware and adjacency-based hypergraph embeddings together with a state-space model on hyperedge representations increases node classification macro-F1 by at least 1.5% on temporal hypergraph datasets compared to the same hypergraph GNN without the state-space model.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Graph neural networks (GNNs) and hypergraph neural networks (HGNNs) extend message passing to pairwise and higher-order relations respectively. Prior HGNN work commonly uses simple pooling or clique-projection to reduce hyperedges and then applies standard GNN layers; this can lose higher-order signal. Role-aware representation methods model node structural roles (how a node connects) but are often separate from adjacency-based embeddings. State-space models (SSMs) such as DPLR/S4 provide efficient long-range temporal sequence modeling but have seen limited integration with hypergraph message passing. Existing integrated attempts either ignore stability constraints of recurrent kernels, lack a principled fusion of role and adjacency views, or provide limited reproducibility and scalability analysis. Common weaknesses are (1) loss of hyperedge semantics under clique-projection, (2) instability and high cost when adding temporal models, and (3) unclear interpretability of hyperedge importance.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on hypergraphs by combining role-aware representations, explicit hyperedge modeling, and temporal state-space dynamics. We propose a hybrid architecture that (1) constructs hypergraphs to capture higher-order relationships; (2) produces role-based and adjacency-based node embeddings; (3) fuses these views with a learnable transformer-like module; and (4) applies hypergraph two-step convolution (node→hyperedge→node) followed by a state-space model (SSM) operating on hyperedge embeddings to capture temporal or sequential patterns. The core contributions are a reproducible two-step hyperedge message-passing primitive with parameterized degree normalization and per-hyperedge learnable weights, a learnable fusion mechanism between role and adjacency embeddings, and an SSM integration for hyperedge dynamics with explicit spectral-stability checks. The expected outcome is richer, temporally aware node representations that improve classification performance and provide interpretable hyperedge attributions, while retaining reproducibility and clear computational complexity bounds.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DBLP (author-paper hyperedges, temporal), Enron (email-thread hyperedges, temporal), CORUM (protein-complex hyperedges, static, small), and synthetic temporal hSBM (controlled hyperedge birth/death and label drift). Data splits: temporal datasets use strict time-split 70/15/15 (train/val/test); static datasets provide transductive (stratified 60/20/20) and inductive splits (20% held-out nodes and incident edges). Baselines: (1) vanilla GCN on clique-projection, (2) hypergraph two-step message passing (node→hyperedge→node) without SSM, (3) node-only SSM (per-node sequence SSM with no hyperedge dynamics), (4) hyperedge SSM integrated (SSM on E_t then broadcast to nodes). Metrics: node accuracy, macro-F1 (primary), micro-F1, AUROC (if binary), expected calibration error (ECE), Brier score. Setup: implement all models in PyTorch with fixed seeds; optimizer Adam; cross-entropy loss; LR_GNN ∈ {1e-3,1e-4,1e-5}; LR_SSM ∈ {5e-4,1e-4,1e-5}; weight decay 1e-5; L1 on W_e default 1e-4; d_in choose 128 (node features), d_h = 64, d_ssm ∈ {64,128,256}. Training: pretrain hypergraph backbone 20–30 epochs then joint fine-tune 40–60 epochs; early stopping patience 10 on val macro-F1. Reproducibility: run 10 random seeds for primary comparisons, 5 seeds for small ablations. Ablations: remove W_e (no per-edge weight), W_e clamped nonnegative, attention on hyperedges on/off, normalization exponents grid α,β,γ,δ ∈ {0,0.25,0.5,0.75,1}, SSM vs GRU fallback, pooling/coarsening vs none. Diagnostics logged each epoch: spectral radius ρ(A) for recurrent matrices, top eigenvalues, gradient norms, W_e distribution, and rollback triggers (if ρ(A)&gt;1.02 or gradient spikes). Statistical tests: paired t-test or Wilcoxon across seeds with Benjamini–Hochberg correction; report Cohen's d and 95% bootstrap CIs. Implementation notes: use sparse COO operations (torch.sparse.mm) and provide dense reference to check numeric equivalence; enforce deterministic data loaders and containerized environment for CI.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instability: SSM recurrent kernels can become unstable (spectral radius &gt;1), causing exploding states or gradients. Sparse autograd: PyTorch sparse operations may produce numerical differences or limited gradient checks on GPU. Compute and memory: large hypergraphs (N,M &gt;&gt; 50k) with SSMs require high GPU-hours and memory; full-graph training may be infeasible without batching. Over-smoothing: deep hypergraph convolutions can blur node features. Hyperedge weight semantics: ambiguous placement or scaling of W_e can change behavior and requires a single canonical formula to avoid inconsistent implementations. Dataset bias and labels: real datasets may have label imbalance or provenance issues limiting generalization. Interpretability limits: attributions to hyperedges (e.g., integrated gradients) depend on W_e parameterization and may be confounded by correlated hyperedges. Statistical power: small effect sizes require many seeds and compute to reach significance. Generalization: methods tuned for temporal hypergraphs may not transfer to non-hypergraph or purely pairwise graphs.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