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reproducible_pacbayes_autofid_automl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PAC-Bayes-informed multi-fidelity simulator validation and reproducible evaluation framework for weight-sharing neural architecture search and AutoML pipeline benchmarking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a PAC-Bayes prior that encodes weight-sharing overlap with a validated multi-fidelity simulator will enable detection of true architecture ranking shifts of at least 1.0% top-1 accuracy with 95% power under the specified pilot budgets.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automated machine learning (AutoML) spans hyperparameter optimization (HPO) with Bayesian optimization and bandits, neural architecture search (NAS) via one-shot/weight-sharing and differentiable relaxations, population-based and evolutionary methods, and automated pipeline systems (Auto-sklearn, AutoGluon). Prior efforts introduced multi-fidelity evaluation (e.g., successive halving) and lightweight simulators for scheduling, while separate lines developed theoretical generalization bounds (e.g., PAC-Bayes) for standard training. Key limitations remain: weight-sharing (one-shot) NAS often produces biased architecture rankings relative to full-training evaluations; differentiable methods lack robust uncertainty estimates; simulator tools are rarely validated OOD (out-of-distribution) or calibrated for predictive intervals; reproducibility practices vary and omit standardized metadata (seeds, container digests, energy traces); and ethics/privacy evaluations are not consistently integrated. There is also a gap linking formal generalization bounds to measurable overlap of shared weights and to practical decision rules used in budgeted AutoML searches.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reproducible evaluation framework that combines a PAC-Bayes prior encoding of weight-sharing overlap with a validated multi-fidelity simulator to improve detection and interpretation of ranking shifts in weight-sharing neural architecture search (NAS) and to standardize AutoML pipeline benchmarking. The framework formalizes a prior/posterior construction where the prior reflects parameter sharing between candidate architectures and yields a KL-like proxy term computable from shared-weight overlap; it uses a multi-fidelity cost-noise simulator (autofid) fit to real runs and validated for out-of-distribution behavior and calibrated predictive intervals. Main contributions are: (1) concrete PAC-Bayes prior/posterior recipes and a KL-proxy estimator with worked examples on small NAS cells; (2) an expanded simulator-validation suite (OOD tests, predictive-interval calibration, bootstrap/Bayesian parameter uncertainty); and (3) an end-to-end reproducible protocol (canonical JSON metadata, RNG and driver pinning, measurement SOP) jointly reporting accuracy, energy, latency, and fairness metrics. Expected outcomes are verifiable bounds on weight-sharing effects, simulator-informed decision rules for budgeted search, and reproducible artifacts that enable reliable community benchmarking.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NAS-Bench-201 (CIFAR-10, CIFAR-100, ImageNet16-120), NAS-Bench-101, three OpenML CC18 tasks (one small, one medium, one large; exact IDs to be locked), governance benchmark (UCI Adult or COMPAS). Baselines: random search, BO-GP (Gaussian Process), SMAC (random-forest surrogate), TPE, ASHA/Hyperband, CMA-ES, DARTS and Regularized DARTS, weight-sharing random baseline, early-stopping-only baseline, Auto-sklearn, AutoGluon. Metrics: top-1 accuracy (%), AUC, median inference latency (ms), energy (Joules measured via RAPL for CPU and NVML for GPU), wall-clock time, GPU-hours, fairness metrics (demographic parity difference, equalized odds gaps), membership-inference attack AUC. Hardware &amp; budgets: NAS pilots on single NVIDIA V100 (16GB) with 32–48 GPU-hours budgets per pilot; pipeline pilots on 4 vCPU nodes + 1x T4 GPU with 40 CPU-hours + 8 GPU-hours per task. Repetitions: 10 independent runs for medium/large tasks, 20 runs for small tasks. Statistical tests: paired Wilcoxon signed-rank for pairwise, Friedman + Nemenyi for &gt;2 methods, Holm-Bonferroni for confirmatory families; require corrected p&lt;0.05 and effect-size threshold (≥1.0% absolute accuracy OR Cohen's d≥0.5 OR ≥20% energy reduction) plus bootstrap 95% CI exclusion of zero. Ablations: (A) disable multi-fidelity scheduling, (B) disable weight-sharing (full-train evaluations), (C) replace surrogate model (GP↔RF), (D) remove meta-prior warm-start. Simulator validation experiments: train autofid on held-in runs; OOD testbeds: different search workloads (architectures, fidelity schedules) not in fit set; calibration metrics: PICP (prediction interval coverage probability) and sharpness; uncertainty quantification via bootstrap and hierarchical Bayesian posterior; thresholds: flag miscalibration if PICP deviates from nominal by &gt;5% and if sharpness exceeds empirical baseline by &gt;20%. CI unit tests: reproducibility smoke-run within ±5% relative of published metric, container digest match, DVC/S3 pointer resolution. Measurement SOP specifics included in experiment repo: monitored warm-up until rolling std dev of metric &lt; pre-registered threshold, energy sampling &gt;10Hz for short runs, NTP+hardware-timestamp alignment, RNG seeds logged for python.random, numpy, torch, torch.cuda.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Theoretical limits: PAC-Bayes bounds require assumptions (i.i.d. data, randomized training) that weight-sharing may violate; KL-proxy estimates may be loose or uninformative if weight overlap poorly captures posterior divergence. Simulator risks: emulator may extrapolate poorly OOD, producing biased decision rules; calibration thresholds (e.g., PICP ±5%) may not generalize across hardware. Measurement risks: hardware/driver/firmware changes, thermal throttling, and BLAS/MKL nondeterminism can induce irreproducible results; energy counters have sampling limitations on short runs. Statistical risks: nested dataset heterogeneity may invalidate simple nonparametric tests; mixed-effects models may be needed but add complexity. Ethical/privacy limits: differential privacy may be infeasible for some AutoML workloads due to utility loss; membership-inference evaluations depend on threat-model assumptions and access patterns. Operational constraints: compute budgets (V100/T4 constraints) limit scale and external validity to larger industry-scale searches; artifact resolution (DVC/S3) and long-term retention require organizational support.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