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lungctfound_core</w:t>
      </w:r>
    </w:p>
    <w:p>
      <w:r>
        <w:t xml:space="preserve"> </w:t>
      </w:r>
    </w:p>
    <w:p>
      <w:pPr>
        <w:pStyle w:val="Heading2"/>
      </w:pPr>
      <w:r>
        <w:t>Title</w:t>
      </w:r>
    </w:p>
    <w:p>
      <w:r>
        <w:t>Diffusion-pretrained multimodal 3D vision foundation model for lung CT multi-task imaging and diagnosis</w:t>
      </w:r>
    </w:p>
    <w:p>
      <w:r>
        <w:t xml:space="preserve"> </w:t>
      </w:r>
    </w:p>
    <w:p>
      <w:pPr>
        <w:pStyle w:val="Heading2"/>
      </w:pPr>
      <w:r>
        <w:t>Short Hypothesis</w:t>
      </w:r>
    </w:p>
    <w:p>
      <w:r>
        <w:t>Diffusion-based self-supervised pretraining of a multi-scale 3D vision transformer that jointly encodes CT volumes and clinical metadata increases nodule detection sensitivity by at least 5 percentage points on external multi-center testbeds (measured at the ≥6 mm threshold) compared to (a) supervised pretraining on labeled CTs and (b) self-supervised masked autoencoding.</w:t>
      </w:r>
    </w:p>
    <w:p>
      <w:r>
        <w:t xml:space="preserve"> </w:t>
      </w:r>
    </w:p>
    <w:p>
      <w:pPr>
        <w:pStyle w:val="Heading2"/>
      </w:pPr>
      <w:r>
        <w:t>Related Work</w:t>
      </w:r>
    </w:p>
    <w:p>
      <w:r>
        <w:t>Current approaches to lung CT tasks fall into several groups: supervised 3D convolutional neural networks (3D CNNs) trained on labeled data for detection and segmentation; vision transformers (ViTs) and hybrid Conv-ViT models applied to 2D/3D medical images; self-supervised methods like masked autoencoders (MAE, where parts of the image are hidden and reconstructed) and contrastive learning for feature pretraining; image-generation methods such as diffusion models used for 2D image synthesis and denoising; and multimodal models that combine images with text or clinical variables. Federated learning techniques (e.g., FedAvg, FedProx) address privacy by keeping data local. Limitations: most work uses relatively small single-site or curated labeled sets, lacks large-scale 3D diffusion pretraining, rarely integrates structured clinical metadata during pretraining, and seldom evaluates unified multi-task models across enhancement, reconstruction, segmentation, and prognosis. Additionally, privacy analyses are often limited (simple ε values without privacy accounting), robustness to scanner heterogeneity is underexplored, and explainability measures are informal or qualitative rather than quantitatively validated.</w:t>
      </w:r>
    </w:p>
    <w:p>
      <w:r>
        <w:t xml:space="preserve"> </w:t>
      </w:r>
    </w:p>
    <w:p>
      <w:pPr>
        <w:pStyle w:val="Heading2"/>
      </w:pPr>
      <w:r>
        <w:t>Abstract</w:t>
      </w:r>
    </w:p>
    <w:p>
      <w:r>
        <w:t>We propose LCTFound, a lung CT foundation model that uses diffusion-based self-supervised pretraining and joint imaging-clinical encoding to support a unified set of CT tasks including enhancement, virtual angiography, sparse-view reconstruction, lesion segmentation, diagnosis, prognosis, treatment-response prediction, and 3D surgical navigation. Diffusion-based pretraining (a method where the model learns to reverse added noise and thereby capture image structure) is applied at scale on a curated multi-center corpus (lungCT-28M). We use a multi-scale 3D Vision Transformer backbone with convolutional tokenizers and task-specific U-Net heads. During pretraining we align CT region embeddings with structured clinical metadata to ground features in clinical context. We evaluate centralized and federated training modes and include differential privacy pilots. The main contribution is an empirical demonstration that diffusion pretraining plus joint clinical encoding yields measurable gains across detection, segmentation, calibration, and prognostic tasks on held-out multi-vendor testbeds. Expected outcome: improved sensitivity and calibration on clinically relevant endpoints while preserving privacy-aware deployment options.</w:t>
      </w:r>
    </w:p>
    <w:p>
      <w:r>
        <w:t xml:space="preserve"> </w:t>
      </w:r>
    </w:p>
    <w:p>
      <w:pPr>
        <w:pStyle w:val="Heading2"/>
      </w:pPr>
      <w:r>
        <w:t>Experiments</w:t>
      </w:r>
    </w:p>
    <w:p>
      <w:r>
        <w:t>Datasets: pretrain on lungCT-28M multi-center corpus (raw volumes and per-scan metadata). Fine-tune subsets per task: nodule detection: 30,000 CT studies (~50,000 labeled nodules); malignancy risk: 8,000 nodules with pathology or 2-year follow-up; ILD staging: 5,000 labeled cases; COVID/ARDS phenotyping: 3,000 cases; treatment-response: 2,000 longitudinal series. External held-out evaluation: roster of 6 independent sites across vendors (Siemens, GE, Philips, Canon, United Imaging, regional). Baselines: (1) Supervised 3D CNN pretrained on labeled subset; (2) 3D masked autoencoder (MAE) self-supervised pretraining; (3) centralized diffusion pretraining variant; (4) imaging-only diffusion pretraining (no clinical metadata). Model: multi-scale 3D ViT with convolutional tokenizers and U-Net task heads. Training setup: mixed-precision, distributed data-parallel, AdamW, cosine lr schedule; pretraining target ~100 epochs on pooled volumes (compute budget ~50–80 A100 GPU-years planned); fine-tune for each task with early stopping on validation. Privacy/federation variants: FedAvg, FedProx, SCAFFOLD; DP-SGD pilot with ε∈{1,3,10} using Rényi accounting. Evaluation metrics: nodule detection sensitivity at ≥6 mm (primary), specificity, AUROC, AUPRC, Dice coefficient for segmentation, IoU for attribution maps, ECE and Brier score for calibration, runtime and memory. Statistical tests: paired bootstrap for metric differences, mixed-effects logistic regression for reader studies. Reader study: 12 radiologists, crossover Latin-square, ~150 cases each, two-reader primary + adjudicator, primary analysis with mixed-effects models. Ablations: (A) diffusion pretraining vs MAE vs supervised; (B) joint imaging+clinical vs imaging-only; (C) centralized vs federated pretraining; (D) harmonized (physics-corrected) inputs vs raw inputs. Success criteria: primary hypothesis tested as ≥5 percentage point sensitivity gain vs best baseline on external testbeds with p&lt;0.05, accompanied by non-inferior specificity.</w:t>
      </w:r>
    </w:p>
    <w:p>
      <w:r>
        <w:t xml:space="preserve"> </w:t>
      </w:r>
    </w:p>
    <w:p>
      <w:pPr>
        <w:pStyle w:val="Heading2"/>
      </w:pPr>
      <w:r>
        <w:t>Risk Factors And Limitations</w:t>
      </w:r>
    </w:p>
    <w:p>
      <w:r>
        <w:t>Technical failures: diffusion pretraining may not scale to large 3D volumes or may converge slowly (compute/time limits). Label bias: ground-truth heterogeneity (pathology vs imaging follow-up vs report-based labels) can introduce noise and bias. Dataset bias and generalization: under-representation of pediatrics, certain ethnic groups, rare pathologies, or uncommon scanner protocols may reduce real-world validity. Privacy and utility trade-offs: strong differential privacy (low ε) may degrade downstream utility beyond acceptable thresholds. Federated threats: poisoning or backdoor attacks and unreliable site participation can impair training. Harmonization risks: image corrections may unintentionally alter diagnostic features (e.g., blur small nodules). Explainability limits: attention or attribution maps may not align with clinician reasoning and may fail statistical validation. Compute and cost: pretraining and sweeps require large GPU-years and storage; resource limits may force smaller models with lower performance. Regulatory and evaluation limits: multi-jurisdiction requirements (FDA, EU MDR, NMPA) and need for prospective clinical validation may delay deployment.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