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infrared_visible_fusion_physically_grounded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Physics-informed interface-attention-alignment framework for infrared–visible image fusion with deployment-aware evaluation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a differentiable sensor forward model, NETD-weighted radiometric losses, MTF/PSF priors, and heteroscedastic uncertainty into a multi-scale interface–attention–alignment fusion network causes lower temperature RMSE, better-calibrated predictive uncertainty (lower NLL and ECE), and higher downstream task accuracy under realistic sensor noise and misregistration than comparable deep fusion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Current infrared–visible fusion approaches fall into classical spatial and transform-domain pipelines, learned deep generative and discriminative models, multi-task joint fusion, hybrid/transformer backbones, and dynamic/temporal fusion. Recent trends emphasize deep learning, generative synthesis, and domain adaptation. Limitations: many methods ignore explicit sensor physics (radiometric calibration, NETD, PRNU/DSNU), lack monotonic calibration (LUT) constraints, and do not enforce MTF/PSF priors that prevent hallucinated high-frequency detail. Uncertainty estimation is often absent or poorly calibrated; when present, comparisons between deep ensembles and evidential methods are limited. Evaluation commonly uses image similarity metrics alone (SSIM/PSNR) and does not couple fusion quality to deployment metrics like task accuracy, latency, memory, or condition-specific performance. Reproducibility is weak: missing metadata, unstable loss schedules, and no standardized ablation or statistical power analysis.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physics-informed infrared–visible fusion framework that unifies interface, attention, and alignment design with deployment-aware evaluation. The method integrates a differentiable sensor forward layer (radiance→DN→temperature) with monotone calibration LUTs and MTF/PSF convolution, a multi-scale cross-modal attention fusion backbone supervised by explicit radiometric objectives, and heteroscedastic uncertainty heads. Losses combine pixelwise temperature L2, heteroscedastic negative log-likelihood, NETD-weighted SNR regularization, multi-scale attention consistency, and MTF/TV priors. We generate realistic synthetic LWIR training data using documented NETD, PRNU, DSNU, MTF, vignetting, and subpixel misregistration ranges and evaluate models on cross-sensor holdouts and real calibrated blackbody patches. We measure radiometric fidelity (RMSE in K), probabilistic calibration (NLL, ECE), structural quality (SSIM), NETD-consistency, and downstream task accuracy and latency. Main contributions are: (1) an end-to-end differentiable sensor + fusion training pipeline that preserves radiometric interpretability, (2) a loss and augmentation suite tuned for sensor-noise floors, and (3) a deployment-aware evaluation protocol coupling fusion metrics with task performance and runtime. Expected outcome: improved calibrated temperature accuracy and robust task gains under realistic deployment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LWIR–VIS pairs generated with NETD in [20,80] mK, PRNU 0.3–3%, DSNU 0.05–2%, Gaussian PSF σ∈[0.5,3.0] px, vignetting 0–30%, subpixel shifts σ∈[0,1.5] px; real dataset target ≥10,000 synchronized IR–VIS pairs spanning ≥1,000 scenes with per-sequence metadata (NETD, MTF, LUT, bit_depth). Splits: scene-wise 70/15/15 train/val/test with sensor-holdout test sets. Baselines: (A) classical spatial fusion, (B) transform-domain fusion, (C) discriminative CNN fusion, (D) generative fusion (GAN/VAEs), (E) multi-task joint fusion, (F) transformer-based fusion. Proposed model variants: full physics-informed model, evidential-uncertainty head, 5-member deep ensemble. Metrics: radiometric RMSE (Kelvin), NLL, ECE (use 15 equal-width temperature bins across dataset range), SSIM, NETD-consistency (measured NETD vs reported), downstream task accuracy (object detection mAP and segmentation IoU), latency (ms/frame) and peak GPU memory (MB). Training setup: warm-start 5–10 epochs with L_temp only, then linear ramp other losses over 10–20 epochs; suggested weights L_temp=1.0, L_NLL∈[0.1,1.0], L_SNR∈[0.01,0.1], L_multi∈[0.5,2.0], MTF/TV∈[0.001,0.1]; s=log σ^2 with gradient scaling 0.1–0.5 for first 20–50k steps. Uncertainty evaluation: compare 5-model deep ensemble vs evidential head using reliability diagrams, ECE, sharpness, and temperature scaling (fit scalar on validation to minimize NLL). Ablations: remove MTF prior, remove L_temp, remove uncertainty head, disable PRNU/DSNU simulation at train time, add +1 px registration bias. Statistical tests: bootstrap 95% confidence intervals and paired Wilcoxon signed-rank tests with Holm-Bonferroni correction; report effect sizes. Reproducibility: 3 random seeds; CI smoke test: 64 pairs 1 epoch; hardware profiling on NVIDIA A100 (full runs) and Jetson-class for latency. Acceptance criteria examples: radiometric MAE ≤1.0 K on calibration patches, ECE ≤0.05, and measurable downstream mAP improvement vs best single-modality baseline.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instability: heteroscedastic variance learning (σ^2) can collapse or hit floors, LUT monotonicity enforcement and Planck inversion can produce NaNs or extreme gradients, and isotonic/monotone cubic interpolation may be costly or non-differentiable. Domain gap: synthetic-to-real mismatch in NETD/PRNU/MTF may reduce transfer; small real holdouts may be insufficient. Data and annotation bias: limited scene diversity or biased emissivity labels impair generalization. Compute and runtime limits: physics-aware modules increase training cost and memory; embedded latency and memory budgets may prevent full-model deployment. Evaluation limits: calibration targets depend on available blackbody patches; downstream gains may vary by task and scenario. Privacy and export control: some sensor metadata may be restricted, limiting public dataset release. Scalability: maintaining per-pixel emissivity or full radiometric calibration at large scale increases curation burden. Technical failure modes: saturating DN regions, misregistration beyond tested ranges (&gt;2 px), and poorly estimated MTF leading to over-smoothing or hallucination of detail.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