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wetland_ml_benchmark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Uncertainty-aware multi-sensor deep learning for wetland classification and benchmarked transfer under limited labels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Training a multi-encoder deep learning model that fuses optical, SAR, and LiDAR inputs with ensemble-based uncertainty quantification and few-shot adaptation will produce a statistically significant improvement in per-class IoU and calibration (lower Expected Calibration Error) versus single-sensor models and classical classifiers when labeled data are limited.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wetland and inundation mapping include classical machine learning on hand-crafted spectral and texture features (e.g., Random Forest, XGBoost), convolutional neural networks (CNNs) for pixelwise segmentation, transformer-based models for long-range context, and physics-aware sensor-fusion pipelines combining optical, SAR, and LiDAR. Domain adaptation, semi/self-supervised learning, and test-time adaptation have been explored to address distribution shifts. Generative models (GANs) have been used for data augmentation. Limitations: many methods assume abundant, clean labels and fail to quantify uncertainty well; transformers and GANs are rarely tested under strict low-label regimes for wetlands; fusion studies often lack consistent co-registration and cross-region transfer evaluation; few-shot and niche architectures (e.g., mamba networks — a specialized network family for low-shot multi-branch learning) are underexplored in this domain. Benchmarks and reproducible evaluation protocols for multi-sensor wetland transfer are lacking, making cross-study comparison and operational decision thresholds unreliable.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reproducible benchmark and algorithmic study to improve wetland classification using limited labeled data. The task is multi-class pixelwise mapping of wetland hydroperiod and land-cover from co-registered multi-sensor inputs (optical multispectral, SAR, and LiDAR-derived canopy height). Our approach evaluates multi-encoder deep learning models with mid- and late-fusion, ensemble-based uncertainty quantification (to separate model uncertainty from inherent data noise), and few-shot adaptation protocols. Main contributions are: (1) a clear benchmark design with spatially stratified splits and temporal holdouts, (2) reproducible baseline implementations (classical ML, multi-encoder U-Net, DeepLabV3+ ensemble, and a mamba-network low-shot variant), and (3) an experimental evaluation that reports accuracy, area-based water errors, and calibration with 95% confidence intervals using spatial block resampling. Expected outcome: statistically defensible evidence on which fusion, uncertainty, and adaptation techniques improve per-class IoU and calibrated predictions under limited labels, enabling better operational decision rules for wetland monitoring.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1-site pilot (2 years) with Sentinel-2 (10 m), Landsat (30 m), Sentinel-1 SAR, optional ALOS-2, LiDAR-derived DTM/CHM (1–5 m), and ~100k annotated pixels plus ~100 RTK field plots; extended benchmark across 8 representative sites (mangrove, saltmarsh, peatland, floodplain, freshwater marsh, fen, vernal pools, agricultural-riverine) with ≥1M labeled pixels and ≥1k plots as available. Baselines: (A) Random Forest/XGBoost on spectral, SAR, texture, CHM features (classical baseline); (B) multi-encoder U-Net with mid-level fusion (separate encoders for optical, SAR, CHM merged before decoder); (C) DeepLabV3+ multi-encoder late-fusion ensemble; (D) single-sensor models (optical-only, SAR-only, LiDAR-only); (E) mamba-network variant for few-shot (mamba networks: low-shot multi-branch models designed to share representations across tasks). Metrics: per-class IoU, per-class F1, macro F1, area-based water extent error (hectares), Expected Calibration Error (ECE), Brier score, reliability diagrams, and 95% confidence intervals via spatial block bootstrap (blocks = watersheds or grid tiles). Experimental setup: spatially stratified train/val/test splits by watershed with leave-one-region-out transfer experiments and temporal holdouts (train years 1..N-1, test year N); fixed random seeds (3 seeds) and containerized runs; ensemble size 3–5 for uncertainty baselines. Ablations: (1) fusion-level ablation (early/mid/late), (2) sensor-dropout during training, (3) remove uncertainty module, (4) few-shot fine-tuning at sample sizes {10,50,100,500} per class, (5) hybrid loss vs cross-entropy (hybrid = cross-entropy + boundary/structure loss). Robustness tests: radiometric shifts ±10–30%, geolocation jitter up to 1 pixel, cloud-mask patterns (10–70% missing), LiDAR/SAR missingness (dropout). Statistical evaluation: compute 95% CIs with spatial block bootstrap; paired model comparisons via permutation tests on spatial aggregates and block-wise paired t-test or Wilcoxon when non-normal; correct for multiple comparisons with Benjamini-Hochberg. Reporting: for each model report metric mean±CI, p-values for pairwise comparisons to primary baseline (RF/XGBoost), runtime (GPU-hours), and memory requirements.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Label scarcity and label noise: field plots and photo-interpretation errors will bias training and evaluation and reduce power. Spatial autocorrelation: naive pixel-wise statistics will overstate significance if spatial structure is not controlled. Co-registration errors: misalignment across sensors can cause systematic errors in fused models. Limited LiDAR availability: many regions lack wall-to-wall high-resolution LiDAR, reducing fusion gains. Compute cost: deep models and ensembles require substantial GPU-hours and memory, limiting reproducibility for low-resource groups. Transfer limits: models trained on pilot sites may not generalize to unseen ecoregions or novel hydrological regimes. Calibration sampling: verifying calibration (ECE) requires sufficient held-out samples per class; rare classes may lack power. Governance and data sensitivity: Indigenous or sensitive site restrictions may limit public data release and external validation. Failure modes: high false-positive inundation during tidal misalignment, collapse of few-shot gains if target samples are not representative, and degraded calibration under radiometric shifts.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