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dual_paradigm_agentic_ai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dual-paradigm taxonomy and PRISMA-based systematic review framework for analyzing agentic AI architectures, applications, and governance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When evaluated under the same protocols, symbolic/classical agentic systems (planner + persistent state) will achieve higher provable safety invariants and lower grounding error, while neural/generative agentic systems (stochastic generation + prompt orchestration) will achieve higher task efficiency but higher grounding error and lower verifiability.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splits into three families: symbolic/classical systems that use explicit planning and persistent state; neural/generative agent systems that use large language models or generative policies driven by prompts; and neuro-symbolic hybrids that combine learned perception with symbolic reasoning. Prior studies emphasize planning algorithms, multi-agent protocols, formal methods for small symbolic controllers, and robustness testing for neural models. Common limitations are inconsistent taxonomies, ad hoc evaluation metrics, limited cross-family comparisons, sparse formal verification for learned modules, inconsistent privacy practice (varying DP epsilon choices), and poor reproducibility (missing seeds, configs, or provenance). Red-team and adversarial budgets are rarely standardized, and domain-specific case studies are fragmented, making it hard to draw systematic conclusions about safety, interpretability, and governance trade-offs.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lack of a unified, testable framework for comparing agentic AI systems across architectural lineages and application domains. We propose a dual-paradigm taxonomy that separates agentic systems into symbolic/classical (algorithmic planning with persistent internal state) and neural/generative (stochastic, prompt-driven orchestration) lineages. Using a PRISMA-style systematic review of the literature (2018–2025) plus empirical pilots, we will (1) catalog theoretical foundations and design patterns, (2) run standardized cross-family experiments in robotics, autonomous systems, healthcare, finance, and industrial automation, and (3) evaluate governance-relevant outcomes including provable safety properties, explanation fidelity, and privacy risk. Main contributions are: a reproducible taxonomy, a standardized benchmark suite with precise metrics and power plans, and a policy-ready conceptual toolkit. Expected outcomes are clearer, measurable comparisons of safety and interpretability trade-offs across paradigms and concrete gating artifacts for researchers and regulators. (PRISMA is a systematic review method that ensures transparent study selection and reporting.)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robotics: Meta-World, D4RL, ManiSkill; autonomous: Waymo Open, nuScenes (subject to DUAs); healthcare: MIMIC-IV (IRB/DUA); finance: public limit-order book datasets or synthetic LOB; industrial: Tennessee Eastman and synthetic fault logs. Baselines: reactive policies, hierarchical/model-based planners, symbolic planners (classical), neural/generative agents (LLM-driven), and neuro-symbolic hybrids. Metrics: safety-severity ordinal 1–5 (1=no impact, 5=critical), weighted_severity = sum_i severity_i * log1p(duration_i); task_success binary (0/1) and graded achievement ratio in [0,1]; explanation_quality = {grounding_fidelity % (predicate match), comprehensibility Likert 1–5, completeness % coverage, counterfactual_correctness %}. Evaluation protocol: fixed seeds 0..9 (10 seeds), containerized configs, compute budgets per baseline, and preregistered analysis scripts. Statistical plan: two-sided tests, alpha=0.05, power=0.8; detect Cohen's d=0.5 requires n≈64 per group; detect proportion difference 0.10 requires n≈385 per group; Holm-Bonferroni correction for multiple comparisons. Verification &amp; tools: formal proofs for symbolic modules using UPPAAL, Spin/TLA+, PRISM, Z3; learned modules receive statistical validation and runtime monitors. Adversarial testing: budgets defined as white-box (full access), grey-box (API access), black-box (query-only); query budgets: 1k, 10k, 100k; time budgets: 72h, 1 week; compute budgets: local CPU-only vs GPU-accelerated attacker tiers. Ablations: vary planning horizon, model capacity, grounding noise (synthetic label noise %), hierarchy depth, and communication bandwidth; primary comparison: symbolic vs neural vs neuro-symbolic on (weighted_severity, grounding_fidelity, task_success). Human studies: for explanation/comprehensibility collect n≥64 sessions per condition where feasible; preregister power calculations per human endpoint.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learned modules may exhibit rare tail failures that runtime monitors miss; symbolic proofs do not cover statistical behavior of neural components. Data and evaluation bias: datasets may not cover edge cases, domain shifts, or population diversity; DUAs/IRB delays may restrict access to critical real data. Scalability and compute: neuro-symbolic and multi-agent baselines may need 16–64 GPUs and tens of TB storage, limiting repeatability for small teams. Privacy limits: strict differential privacy (low epsilon) may reduce utility below operational thresholds. Red-team realism: attacker budgets and capabilities in experiments may not match real-world adversaries, limiting external validity. Generalization: results from selected benchmarks and 2018–2025 literature may not generalize to future model scales or unseen domains. Legal/ethical timelines: IRB approvals, DUAs, and data-use restrictions can delay experiments and reduce dataset parity between domains. Metric limitations: ordinal safety scales and human Likert scores have subjectivity and require calibration efforts to achieve high inter-rater reliability.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