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anatomy_to_tract_map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Anatomy-to-tract mapping: inferring bundle-specific white matter streamlines from T1-weighted MRI without diffusion-based streamline propagation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machine learning model trained only on structural MRI features can generate bundle-specific white matter streamlines whose overlap with diffusion-derived reference bundles achieves a bundle-level Dice ≥ 0.80 without using diffusion-derived inputs during anatomy-only training.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reconstruct white matter pathways rely mainly on diffusion MRI tractography. Deterministic methods follow a single local orientation and are sensitive to noise and crossing fibers. Probabilistic tractography models orientation uncertainty but still propagates streamlines voxel-to-voxel and can produce spurious paths in complex geometry. Global tractography optimizes full-path likelihoods but is computationally heavy and still diffusion-bound. Atlas- or segmentation-based methods predict bundle masks from diffusion or structural images but require voxelwise segmentation and do not produce explicit streamlines. Supervised segmentation models often use diffusion-derived labels or orientation fields, creating circular dependence when evaluating anatomy-only inference. Limitations across these methods include reliance on diffusion signals, failure in crossing/kissing/bending configurations, sensitivity to SNR/scanner differences, and limited ability to produce subject-specific plausible streamlines from anatomical MRI alone.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study to test whether bundle-specific white matter streamlines can be generated directly from high-quality T1-weighted anatomical MRI without voxelwise orientation estimation or diffusion-based streamline propagation. The approach trains a model that predicts which parcel-to-parcel connections exist and then generates continuous tract geometries conditioned on those predictions. Main contributions are (1) a reproducible anatomy-driven pipeline that outputs explicit streamlines from structural features, (2) a set of pre-registered quantitative criteria for geometric and endpoint fidelity, and (3) a validation suite using diffusion tractograms, ex vivo histology, and tracer homology with uncertainty propagation. Expected outcome: anatomy-only models that synthesize anatomically plausible, subject-specific streamlines handling crossing and bending configurations and meeting pre-specified metrics for overlap, endpoint proximity, curvature, and uncertainty calibration, enabling applications where diffusion data are unavailable or limited.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Training pool: 400 HCP subjects with T1/T2 and paired tractograms; HCP holdout: 100; cross-site test: 100 subjects (MGH7T + clinical scanners); ex vivo histology specimens: 10–20; tracer comparisons using CoCoMac and Allen atlases mapped to human parcels. Baselines: deterministic local tractography (iFOD2), probabilistic CSD tractography, global tractography, atlas-prior methods (XTRACT/TractSeg), supervised tract segmentation (TractSeg-like), and a geodesic/distance-prior baseline. Model variants: (A) two-stage GNN existence + conditional geometry generator (conditional diffusion or normalizing flow over B-spline path parameters), (B) same without homology-weight loss, (C) anatomy-only + diffusion-augmented fine-tune, (D) geometry loss variants (Chamfer vs Earth Mover's Distance (EMD) vs probabilistic likelihood). Definitions and metrics: bundle Dice (voxel and streamline clustering overlap; two streamlines overlap if mean pointwise distance ≤ 2 mm), length-weighted Dice (voxel counts weighted by path-length through voxel), endpoint proximity (median and 95th percentile Euclidean distance between matched endpoint centroids), curvature/tortuosity MAPE (curvature κ(s)=|r'×r''|/|r'|^3), reconstruction rate, Expected Calibration Error (ECE) and Brier score for uncertainty, and endpoint-location SD. Pre-specified success: bundle Dice ≥ 0.80 primary, endpoint median ≤ 1.0 mm and 95th ≤ 3.0 mm, curvature/tortuosity error ≤ 5%, ECE ≤ 0.05. Experimental setup: deterministic seeds, containerized runs, ensembles N=5 for uncertainty, LR grid 1e-4–1e-2, weight decay 1e-6–1e-3, spline knot counts swept {8,16,32}, batch size tuned to GPU memory; report per-metric bootstrap 95% CI with 10,000 resamples and per-bundle power curves. Ablations: remove homology-weight, remove myelin/curvature features, replace Chamfer with EMD, vary ensemble size. Robustness tests: simulated lesions and resections, severe cortical atrophy, pediatric/geriatric scaled morphologies, parcellation corruption, and low-SNR/low-resolution T1; evaluate metric drops and calibration shifts. Reporting: full code, metric unit-tests, and runtime/gradient-stability logs for geometry losses.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geometry generator may collapse to short or anatomically implausible paths, or fail to represent crossing fibers if training data lack diversity. Evaluation bias: diffusion-derived tractograms are imperfect references and can misrepresent true anatomy; tracer/histology coverage is incomplete and requires homology mapping that adds uncertainty. Data limitations: HCP-like morphology may not represent clinical/lesioned brains; small ex vivo histology sample sizes limit statistical power. Anti-circularity constraint: strict exclusion of diffusion features during anatomy-only training reduces available signal and may limit achievable accuracy. Scalability and compute: model pretraining and Monte Carlo homology propagation require thousands of GPU hours and substantial storage; resource limits may delay experiments. Generalization limits: performance may degrade on scanners, ages, or pathologies not represented in training; uncertainty estimates may be miscalibrated in out-of-distribution cases.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