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benzimidazole_proton_ordering_brafm</w:t>
      </w:r>
    </w:p>
    <w:p>
      <w:r>
        <w:t xml:space="preserve"> </w:t>
      </w:r>
    </w:p>
    <w:p>
      <w:pPr>
        <w:pStyle w:val="Heading2"/>
      </w:pPr>
      <w:r>
        <w:t>Title</w:t>
      </w:r>
    </w:p>
    <w:p>
      <w:r>
        <w:t>Bond-resolved AFM and force spectroscopy combined with path-integral simulations to probe proton ordering in surface-confined benzimidazole assemblies on Ag(111).</w:t>
      </w:r>
    </w:p>
    <w:p>
      <w:r>
        <w:t xml:space="preserve"> </w:t>
      </w:r>
    </w:p>
    <w:p>
      <w:pPr>
        <w:pStyle w:val="Heading2"/>
      </w:pPr>
      <w:r>
        <w:t>Short Hypothesis</w:t>
      </w:r>
    </w:p>
    <w:p>
      <w:r>
        <w:t>If benzimidazole molecules form cyclic hydrogen-bonded assemblies on Ag(111), then bond-resolved AFM/AFS measurements will show distinct, reproducible frequency-shift (Δf) and force minima signatures that map proton locations and which shift predictably under H→D isotopic substitution, and only simulations that include nuclear quantum effects (path-integral MD) will quantitatively match these experimental signatures.</w:t>
      </w:r>
    </w:p>
    <w:p>
      <w:r>
        <w:t xml:space="preserve"> </w:t>
      </w:r>
    </w:p>
    <w:p>
      <w:pPr>
        <w:pStyle w:val="Heading2"/>
      </w:pPr>
      <w:r>
        <w:t>Related Work</w:t>
      </w:r>
    </w:p>
    <w:p>
      <w:r>
        <w:t>Bond-resolved AFM (br-AFM) and atomic force spectroscopy (AFS) have been used to image internal molecular bonds and measure local forces, often using CO-terminated tips for high contrast. Classical DFT and NEB (nudged elastic band) methods are commonly applied to compute adsorption geometries and proton-transfer barriers. Separately, path-integral approaches and ring-polymer MD have been developed to capture nuclear quantum effects (NQEs) such as proton delocalization and tunneling in hydrogen bonds. Limitations in prior work include: (1) experimental ambiguity due to tip-induced artifacts and limited tip models, (2) sparse use of isotope labeling for direct proton assignment, (3) many DFT studies omit hybrid functionals or higher-level vdW treatments and thus misestimate energetics, (4) most comparisons lack full NQE treatment so tunneling/delocalization predictions disagree with low-temperature experiments, and (5) limited standardized metadata and sample statistics reduce reproducibility.</w:t>
      </w:r>
    </w:p>
    <w:p>
      <w:r>
        <w:t xml:space="preserve"> </w:t>
      </w:r>
    </w:p>
    <w:p>
      <w:pPr>
        <w:pStyle w:val="Heading2"/>
      </w:pPr>
      <w:r>
        <w:t>Abstract</w:t>
      </w:r>
    </w:p>
    <w:p>
      <w:r>
        <w:t>We address whether bond-resolved AFM and force spectroscopy can unambiguously map proton positions and collective proton behavior in cyclic hydrogen-bonded benzimidazole assemblies on Ag(111). We combine high-resolution experimental protocols (CO-, Xe-, and molecule-terminated tips; cryogenic qPlus AFM/AFS; controlled HCl/DCl and NH3 dosing; QCM-calibrated coverages) with first-principles simulations that include hybrid functional corrections and nuclear quantum effects (path-integral MD and ring-polymer instanton). The main contribution is an integrated, testable workflow that generates paired experimental Δf(x,y,z) cubes and force curves and simulated Δf maps and tunneling-rate estimates, enabling direct quantitative comparison. Expected outcomes are: (1) reproducible bond-resolved contrast that correlates with proton location, (2) isotope-dependent shifts in AFM/AFS and vibrational spectra that confirm proton assignments, and (3) demonstration that including NQEs is required to quantitatively reproduce experimental signatures. This work establishes reproducible metrics and data standards for detecting proton ordering and quantum proton effects in surface-confined molecular networks.</w:t>
      </w:r>
    </w:p>
    <w:p>
      <w:r>
        <w:t xml:space="preserve"> </w:t>
      </w:r>
    </w:p>
    <w:p>
      <w:pPr>
        <w:pStyle w:val="Heading2"/>
      </w:pPr>
      <w:r>
        <w:t>Experiments</w:t>
      </w:r>
    </w:p>
    <w:p>
      <w:r>
        <w:t>Datasets: Prepare assemblies of benzimidazole (BI) and derivatives (1-Me-BI, 5-NO2-BI, 5-OH-BI, BI-COOH) on Ag(111) at defined coverages (0.2, 0.5, 1.0 ML). Include isotopic variants (N–D substituted molecules) and protonation states created by controlled HCl/DCl dosing (0.1–5 L) and NH3 dosing (0.5–10 L). Acquire: (a) CO-terminated bond-resolved AFM Δf(x,y,z) cubes at z = 40, 80, 120 pm; (b) localized AFS Fz force curves at hydrogen-bond motifs; (c) XPS N 1s spectra; (d) vibrational spectra (HREELS or IRRAS) for N–H/N–D. Baselines: (1) conventional non-bond-resolved AFM imaging; (2) DFT without NQEs (PBE+vdW) predictions; (3) probe-particle AFM simulation for an unfunctionalized tip. Ablation studies: (A) tip termination comparison (CO vs Xe vs molecule-terminated) on same domains; (B) theory comparison (PBE+vdW vs r2SCAN-vdW relaxations vs hybrid single-point HSE06+vdW); (C) dynamics comparison (classical MD vs RPMD with 32–128 beads). Evaluation metrics: Δf contrasts at specified z within ±5 Hz; AFS force minima within ±5 pN or ±20%; XPS N1s shifts within ±0.2 eV; vibrational N–H→N–D shifts within ±30 cm−1; statistical reproducibility: per condition ≥5 independent samples, ≥10 domains per sample, ≥75 force curves per condition. Experimental setup: UHV cryogenic (~5 K) qPlus AFM; QCM-monitored sublimation (flux 0.15–0.40 Å/min); tip prep and validation SOPs; store raw 3D Δf cubes and force curves in HDF5 with JSON metadata. Analysis: compare measured vs simulated Δf(x,y) maps and Fz curves, report residuals, and test whether RPMD-inclusive models reduce residuals below acceptance thresholds. Success gate: theory–experiment agreement meeting all metric tolerances for at least one molecule/condition.</w:t>
      </w:r>
    </w:p>
    <w:p>
      <w:r>
        <w:t xml:space="preserve"> </w:t>
      </w:r>
    </w:p>
    <w:p>
      <w:pPr>
        <w:pStyle w:val="Heading2"/>
      </w:pPr>
      <w:r>
        <w:t>Risk Factors And Limitations</w:t>
      </w:r>
    </w:p>
    <w:p>
      <w:r>
        <w:t>Technical failure modes: tip-induced proton transfer or tip instability causing false proton signals; imaging may perturb proton positions if peak attractive forces exceed thresholds. Data biases: domain selection bias if only large ordered domains are analyzed; isotope-exchange may be incomplete leading to mixed signals. Computational limits: path-integral MD and hybrid DFT are computationally costly and may limit motif sampling; RPMD bead convergence may be slow for shallow barriers. Scalability: method is resource-intensive and may not scale to large networks or many derivatives. Generalization limits: results on Ag(111) and chosen derivatives may not extend to other substrates or chemistries. Safety and procurement risks: handling HCl/DCl requires certified scrubbers and interlocks; delays in procurement or limited tip inventory (CO, Xe, molecule-terminated) can slow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