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concept_drift_image_streams_taxonomy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taxonomy-guided benchmark combining embedding two-sample tests and uncertainty-aware detectors for concept drift detection in image data streams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Combining embedding-based two-sample tests with online multiple-testing control and uncertainty-aware detectors yields higher detection power and lower false discovery rate for covariate and conditional concept drift in image streams than uncertainty-only or classifier-only methods under label-sparse and streaming conditions.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fall into three families: uncertainty-based detectors that monitor model confidence (ensembles, MC-dropout), two-sample/statistical tests on image features or embeddings (MMD, energy distance, classifier two-sample tests), and online change-point methods applied to model outputs (BOCPD, CUSUM). Self-supervised and representation-learning methods have been proposed to produce robust embeddings for downstream detection. Limitations: (1) Few works target continuous image streams with realistic temporal structure and label sparsity; most evaluations use tabular or synthetic low-dimensional data. (2) Statistical thresholds and sample-size guidance are often missing, so tests lack calibrated power and produce variable false alarm rates. (3) Online multiple-testing under temporal dependence is underexplored, weakening FDR guarantees. (4) Reproducibility and system-level evaluations (latency, memory, robustness to jitter) are rare. (5) Drift taxonomies and clear operational criteria to separate covariate vs conditional drift in high-dimensional image embeddings are not standardized.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present a taxonomy-guided benchmark and experimental framework for detecting concept drift in streaming image data. The framework combines embedding-based two-sample tests (which compare distributions of image features) with uncertainty-aware detectors (ensembles, MC-dropout) and online multiple-testing procedures to control false discoveries in time. Main contributions are: (1) a novel taxonomy that classifies methods by how they handle image features, detection strategy, detection level, drift cause, and evaluation choices; (2) a reproducible benchmark with canonical baselines, synthetic and real temporal splits, drift operators (appearance, geometry, semantic), and realism metrics; (3) a unified evaluator that reports false alarm rate, detection delay, alarm precision/recall, AUDC, and time-to-recovery. We expect the combined approach to provide better detection power under label-sparse conditions and to produce reproducible operating curves for practitioners. The framework enables systematic comparisons of representation choices, detector statistics, and sequential FDR procedures under realistic streaming constraints.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ImageNet-C and CIFAR-C (appearance/corruption tracks), DomainNet (domain shifts), WILDS subsets (real-world domain shifts), CORe50 (continuous object streams), BDD100K and nuScenes (driving temporal streams). Synthetic drift injections: style-transfer (AdaIN/CycleGAN), photometric (brightness/contrast/hue), geometric (perspective, occlusion, scale), sensor noise (Gaussian, motion blur), localized patch edits, label-remapping, novel-class injection; modes: abrupt, gradual, recurring, multi-scale seasonal drift. Baselines (canonical recipes): Deep Ensemble (ResNet-50 ×5, detector: ensemble softmax variance), MC-Dropout (ResNet-50, dropout p, predictive entropy), MMD-on-embeddings (ResNet-50 frozen encoder, 128-d projector, RBF kernel; MMD = maximum mean discrepancy, a statistical distance), BOCPD-on-logits (ResNet-18, Bayesian online change-point detection on logits), Replay+Fine-tune (buffer=1000, online 10 steps), Self-supervised KNN-density (SimCLR-style embeddings, nearest-neighbor density shifts). Evaluation metrics: false alarm rate (FAR per time), detection-delay distribution (Δt = alarm_time − ground_truth_onset), alarm precision/recall, area-under-detection-curve (AUDC), time-to-recovery (time to regain pre-drift accuracy ±ε), empirical FDR, power (TPR). Online multiple-testing: compare LORD, SAFFRON, alpha-spending, online-BH under dependence scenarios. Window sizes and streaming config: sliding/test windows ∈ {200,500,1000} samples; seeds {42,43,44}; consolidation window Wc=5 events; significance α=0.05 with sequential FDR control. Ablations: (A) representation ablation — supervised ResNet-50 vs self-supervised SimCLR embeddings; (B) detector ablation — MMD vs ensemble entropy vs classifier two-sample; (C) window-size and kernel bandwidth sweep (median, 0.5×, 2×) with MMD power curves; (D) label-sparsity regimes — fully labeled, delayed labels (labels delayed by 100–1000 events), semi-supervised (1%–10% labeled), and unlabeled streaming evaluation. Reproducibility: provide Docker container (pinned PyTorch), YAML experiment manifests, fixed seeds, and CI minimal-run reproducer that replays a demo stream (MMD-on-ResNet + BOCPD) and outputs bootstrap CIs for metrics.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Statistical instability: high-dimensional embeddings can reduce power of kernel tests (MMD) and produce wide sample-size requirements; reported constants (e.g., C≈4) may not generalize across datasets or kernels. 2) Temporal dependence: streaming autocorrelation can violate assumptions of online-FDR methods and inflate Type I error unless decorrelation is applied; theoretical guarantees may be limited. 3) Label sparsity: conditional-drift detection (changes in p(y|x)) requires labels or calibrated pseudo-labels; in many real deployments labels are rare or delayed, reducing detection sensitivity. 4) Synthetic realism: style-transfer and simulator-based drifts may not capture all real-world drift modalities, limiting ecological validity. 5) Compute and latency: ensembles and MC-dropout increase inference cost and may fail hard real-time SLOs (500 ms) on constrained hardware. 6) Adaptation trade-offs: alarms that trigger adaptation risk catastrophic forgetting or resource-heavy retraining; measuring stability-plasticity is nontrivial. 7) Privacy/ethics limits: federated or DP simulations may not reflect client heterogeneity and could mislead privacy-utility conclusions. 8) Bias and generalization: curated datasets may contain class imbalance or confounders that bias detected drift signals and limit generalization to other domains.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