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waste_to_resource_kg</w:t>
      </w:r>
    </w:p>
    <w:p>
      <w:r>
        <w:t xml:space="preserve"> </w:t>
      </w:r>
    </w:p>
    <w:p>
      <w:pPr>
        <w:pStyle w:val="Heading2"/>
      </w:pPr>
      <w:r>
        <w:t>Title</w:t>
      </w:r>
    </w:p>
    <w:p>
      <w:r>
        <w:t>Automated construction of a waste-to-resource knowledge graph from research literature using large language models for industrial symbiosis identification</w:t>
      </w:r>
    </w:p>
    <w:p>
      <w:r>
        <w:t xml:space="preserve"> </w:t>
      </w:r>
    </w:p>
    <w:p>
      <w:pPr>
        <w:pStyle w:val="Heading2"/>
      </w:pPr>
      <w:r>
        <w:t>Short Hypothesis</w:t>
      </w:r>
    </w:p>
    <w:p>
      <w:r>
        <w:t>An automated pipeline that uses retrieval plus large language model extraction, standardized ontology validation, and SPARQL-CONSTRUCT inference will identify PotentialSymbiosis candidates with calibrated confidence scores that achieve precision ≥0.75 and recall ≥0.60 on a 50–100 document pilot versus manual curation.</w:t>
      </w:r>
    </w:p>
    <w:p>
      <w:r>
        <w:t xml:space="preserve"> </w:t>
      </w:r>
    </w:p>
    <w:p>
      <w:pPr>
        <w:pStyle w:val="Heading2"/>
      </w:pPr>
      <w:r>
        <w:t>Related Work</w:t>
      </w:r>
    </w:p>
    <w:p>
      <w:r>
        <w:t>Existing approaches to build knowledge graphs (KGs) from text include rule-based extraction, information retrieval plus entity linking, and neural extraction using pretrained language models. Recent methods combine retrieval-augmented generation (RAG) or instruction-tuned LLMs with downstream KG population. Ontology and shape validation commonly rely on OWL and SHACL for structural checks, while domain inference is often implemented with ad hoc scripts or SPARQL rules. Limitations: neural extractors can hallucinate or omit provenance and often lack calibrated confidence; many pipelines do not publish reproducible artifacts (ontology+SHACL+SPARQL templates) or concrete thresholds; rule-heavy systems scale poorly and lack LLM flexibility; crosswalks to reference taxonomies (EWC/ENVO/CHEBI) are often manual and ambiguous; uncertainty propagation from measurement errors into final scores is rarely handled. These gaps make automated symbiosis suggestion brittle, poorly auditable, and hard to calibrate across jurisdictions and sectors.</w:t>
      </w:r>
    </w:p>
    <w:p>
      <w:r>
        <w:t xml:space="preserve"> </w:t>
      </w:r>
    </w:p>
    <w:p>
      <w:pPr>
        <w:pStyle w:val="Heading2"/>
      </w:pPr>
      <w:r>
        <w:t>Abstract</w:t>
      </w:r>
    </w:p>
    <w:p>
      <w:r>
        <w:t>Industrial symbiosis requires matching waste outputs to resource inputs across facilities in ways that are technically, legally, and economically feasible. We propose an automated pipeline that converts unstructured research literature into a standardized waste-to-resource knowledge graph using retrieval, large language model (LLM) extraction, ontology-based normalization, SHACL validation (SHACL is a language for validating RDF graph structure), and SPARQL-CONSTRUCT inference. The pipeline emits JSON-LD triples mapped to an OWL ontology and attaches PROV provenance for each assertion. Domain inference applies numeric thresholds on quantity, quality (contaminant levels), geographic distance, and regulatory compatibility and computes a weighted confidence score; candidates with confidence ≥0.7 are auto-ingested, lower-confidence cases are flagged for human review. The main contributions are a reproducible artifact bundle (ontology, SHACL shapes, SPARQL templates, exemplar RDF, and a Docker demo), a parameter-sweep and calibration protocol to derive thresholds and ensemble weights, and an evaluation suite for extraction accuracy and confidence calibration. Expected outcome: a provenance-rich, explainable KG that yields actionable PotentialSymbiosis candidates meeting pilot performance targets while enabling human oversight.</w:t>
      </w:r>
    </w:p>
    <w:p>
      <w:r>
        <w:t xml:space="preserve"> </w:t>
      </w:r>
    </w:p>
    <w:p>
      <w:pPr>
        <w:pStyle w:val="Heading2"/>
      </w:pPr>
      <w:r>
        <w:t>Experiments</w:t>
      </w:r>
    </w:p>
    <w:p>
      <w:r>
        <w:t>Datasets: demo set of 10 sample documents (mixed PDFs and CSVs); pilot annotated corpus of 50–100 documents stratified by sector (chemicals, food, metals, energy) and region; production evaluation corpus of 500+ documents for final assessment. Sources: permits, facility reports, transport manifests, and sensor logs. Baselines: (A) manual curation (human annotations), (B) rule-based extractor (patterns and regex + crosswalk heuristics), (C) LLM-only extraction without ontology/SHACL validation, (D) RAG+LLM extraction without SPARQL inference. Metrics: entity and relation precision, recall, F1; triple-level precision/recall/F1; Brier score for confidence calibration; precision@k, MAP, NDCG for symbiosis ranking; SHACL pass rate; latency (single symbiosis query &lt;2s) and batch throughput (10k flows &lt;1h). Experimental setup: 5-fold stratified cross-validation by sector and jurisdiction; hyperparameter sweeps over ensemble weights (e.g., [0.5,0.3,0.2] and alternatives), supplyRatio ∈ [0.6,1.2], qualityTolerance ∈ [0,0.2], distanceCutoff ∈ {25,50,100,300} km; isotonic calibration trained via 5-fold CV. Ablation studies: remove SHACL validation; remove provenance linking; replace SPARQL-CONSTRUCT rules with simple thresholds applied outside KG; vary ensemble weight allocations. Acceptance criteria for pilot: precision ≥0.75, recall ≥0.60, Brier ≤0.20. Reproducibility: containerized CI that ingests demo docs, runs SHACL checks, loads exemplar RDF, executes SPARQL-CONSTRUCT, and must produce ≥1 PotentialSymbiosis triple with prov:wasGeneratedBy.</w:t>
      </w:r>
    </w:p>
    <w:p>
      <w:r>
        <w:t xml:space="preserve"> </w:t>
      </w:r>
    </w:p>
    <w:p>
      <w:pPr>
        <w:pStyle w:val="Heading2"/>
      </w:pPr>
      <w:r>
        <w:t>Risk Factors And Limitations</w:t>
      </w:r>
    </w:p>
    <w:p>
      <w:r>
        <w:t>LLM hallucination: extracted facts may be invented or misattributed, producing false positive triples. Missing or ambiguous source data: absent quantities, quality measures, or geolocation force conservative fallbacks and increase human review. Crosswalk ambiguity: mapping to EWC/ENVO/CHEBI can be imprecise for compound or novel materials. Measurement uncertainty: lab/sensor error and unit normalization may not be fully propagated into qualityScore, reducing reliability. Jurisdiction dynamics: changing regulations or permit rules can invalidate stored compatibility rules. Scalability and cost: RDF stores and reasoning at 1M–10M triples require significant memory, CPU, and storage, increasing compute costs. Privacy and PII risk: facility identifiers and sensitive text may leak unless redacted; anonymization reduces linkage utility. Evaluation bias and generalization: pilot results may not generalize across underrepresented sectors or regions. Operational complexity: combining retrieval, LLMs, SHACL, OWL, and SPARQL rules creates many integration failure modes and maintenance burden.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