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pana_pam_microphase_strain_fibers</w:t>
      </w:r>
    </w:p>
    <w:p>
      <w:r>
        <w:t xml:space="preserve"> </w:t>
      </w:r>
    </w:p>
    <w:p>
      <w:pPr>
        <w:pStyle w:val="Heading2"/>
      </w:pPr>
      <w:r>
        <w:t>Title</w:t>
      </w:r>
    </w:p>
    <w:p>
      <w:r>
        <w:t>Controlled microphase separation and post-drawing strain programming of sodium polyacrylate–polyacrylamide hydrogel fibers to reproduce biomimetic hierarchical architecture and tunable mechanics</w:t>
      </w:r>
    </w:p>
    <w:p>
      <w:r>
        <w:t xml:space="preserve"> </w:t>
      </w:r>
    </w:p>
    <w:p>
      <w:pPr>
        <w:pStyle w:val="Heading2"/>
      </w:pPr>
      <w:r>
        <w:t>Short Hypothesis</w:t>
      </w:r>
    </w:p>
    <w:p>
      <w:r>
        <w:t>Antisolvent-induced microphase separation in sodium polyacrylate–polyacrylamide (pana–pam) wet-spun fibers followed by post-drawing strain programming increases nanoscale domain alignment (P2) and controlled crystallization, causing a measurable increase in longitudinal modulus and toughness compared to fibers that are not microphase-separated or not post-drawn.</w:t>
      </w:r>
    </w:p>
    <w:p>
      <w:r>
        <w:t xml:space="preserve"> </w:t>
      </w:r>
    </w:p>
    <w:p>
      <w:pPr>
        <w:pStyle w:val="Heading2"/>
      </w:pPr>
      <w:r>
        <w:t>Related Work</w:t>
      </w:r>
    </w:p>
    <w:p>
      <w:r>
        <w:t>Existing approaches include wet-spinning of hydrogels, block-copolymer microphase separation to create nanoscale domains, and strain-induced alignment used in synthetic spider-silk mimics. Wet-spinning studies show good throughput but poor control of nanoscale domain spacing in highly hydrated systems. Block-copolymer methods achieve ordered domains in organic solvents but struggle in aqueous, ion-rich media and for high water-content networks. Strain-programming of fibers (mechanical drawing) has produced alignment in solid polymers, but applying that to hydrated hydrogel fibers often causes network rupture or uncontrolled dehydration. Prior work also reports challenges with oxygen inhibition during UV curing, residual photoinitiator toxicity, inconsistent in situ structural characterization (lack of coupled SAXS-mechanics data), and scale-up reproducibility. These limitations leave unresolved control over: (1) domain spacing and alignment in aqueous hydrogel filaments, (2) locking-in anisotropic microstructure without dehydration damage, and (3) robust correlations between processing, multiscale structure, and mechanical/biofunctional outcomes.</w:t>
      </w:r>
    </w:p>
    <w:p>
      <w:r>
        <w:t xml:space="preserve"> </w:t>
      </w:r>
    </w:p>
    <w:p>
      <w:pPr>
        <w:pStyle w:val="Heading2"/>
      </w:pPr>
      <w:r>
        <w:t>Abstract</w:t>
      </w:r>
    </w:p>
    <w:p>
      <w:r>
        <w:t>We address the problem of reproducibly producing biomimetic, strain-programmable hydrogel fibers whose nanoscale architecture controls anisotropic mechanics for wearable and tissue-like functions. We propose a high-throughput wet-spinning route where antisolvent-induced microphase separation creates hydrogen-bonded nanoclusters, and a subsequent calibrated post-draw step aligns polymer chains and promotes controlled crystallization to lock-in hierarchical structure. The main contribution is an experimentally testable processing–structure–property map linking spinning composition, antisolvent conditions, UV cure and draw ratio to measurable morphology (domain spacing and orientation) and mechanical outcomes (modulus, toughness, hysteresis). Expected outcomes include fibers with aligned nanoscale domains (high P2), increased longitudinal stiffness and toughness relative to non-drawn controls, and material data suitable for Bayesian-calibrated phase-field–elastic models. Impact: provides a reproducible route to hydrogel fibers that mimic spider-silk hierarchical design while remaining hydrated and biocompatible, enabling applications in wearable technologies and soft tissue scaffolds.</w:t>
      </w:r>
    </w:p>
    <w:p>
      <w:r>
        <w:t xml:space="preserve"> </w:t>
      </w:r>
    </w:p>
    <w:p>
      <w:pPr>
        <w:pStyle w:val="Heading2"/>
      </w:pPr>
      <w:r>
        <w:t>Experiments</w:t>
      </w:r>
    </w:p>
    <w:p>
      <w:r>
        <w:t>Samples and factors: fabricate sodium polyacrylate–polyacrylamide (pana–pam) composite hydrogel fibers by coaxial wet-spinning. DOE factors: minority-domain volume fraction f = {0.10, 0.20, 0.35}, matrix crosslinker (PEGDA) = {0.5, 1.5, 5 mol%}, draw ratio = {1×, 3×, 5×}. Replicates and power: mechanics n = 8 per condition, SAXS n = 5 per condition, AFM n = 5 per condition, bio n = 6 per condition (power target 80%, α = 0.05). Baselines: (A) non-microphase fibers (mixed casting without antisolvent), (B) microphase fibers without post-draw, (C) commercial or literature-reported hydrogel fiber if available. Measurements and metrics: - SAXS/USAXS: domain spacing d (nm) and orientation order parameter P2 (dimensionless). q-range target 0.003–0.8 nm^-1. - AFM QNM (quantitative nanomechanics): local modulus contrast (matrix vs domain) in kPa; map orientation from image-based segmentation. - Tensile tests (hydrated, 25 °C): initial modulus E0 (kPa), tensile strength (kPa), extensibility (%), toughness (J·m^-3), hysteresis energy per cycle (J), stress-relaxation spectra (Prony terms τ and moduli). Gauge length 10–20 mm, diameters 100–400 μm. - Fatigue: cycles to 50% stiffness loss at physiologic amplitude (10–20% strain) and at 0→50% cycles; record cycles-to-failure. - Chemical QC: residual monomer &lt;100 ppm, photoinitiator &lt;50 ppm measured by HPLC/LC-MS. - Cytocompatibility: cell viability (%) by AlamarBlue or MTT after 24–72 h; acceptance ≥85%. Experimental setup: implement 3×3×3 DOE, produce ≥135 mechanical specimens. For each fiber batch collect SAXS and AFM maps on a minimum of 5 fibers. Use mixed-effects ANOVA (fixed effects: f, crosslink, draw; random effect: batch) with post-hoc FDR-corrected pairwise tests, α = 0.05. Ablation and comparison studies: (1) UV dose × draw ratio factorial mapping for 100–200 μm filaments to correlate cure dose (mJ·cm^-2) with conversion (monitored inline by FTIR or Raman) and final P2; (2) annealing method comparison: humidity-controlled vs solvent-vapor anneal on domain coarsening and mechanical outputs. Data outputs: per-sample HDF5 files with metadata (DOE keys, cure dose, anneal history, hydration state).</w:t>
      </w:r>
    </w:p>
    <w:p>
      <w:r>
        <w:t xml:space="preserve"> </w:t>
      </w:r>
    </w:p>
    <w:p>
      <w:pPr>
        <w:pStyle w:val="Heading2"/>
      </w:pPr>
      <w:r>
        <w:t>Risk Factors And Limitations</w:t>
      </w:r>
    </w:p>
    <w:p>
      <w:r>
        <w:t>Technical failure modes: insufficient domain contrast in hydrated conditions yielding weak SAXS signals (low signal-to-noise); fiber rupture or excessive necking during post-draw; oxygen inhibition or incomplete cure leaving cytotoxic photoinitiator residues. Measurement biases: beam damage during SAXS (radiation alters hydrogel), AFM tip-induced deformation of very soft domains, and inconsistencies in cryo-sectioning for AFM. Statistical limitations: biological assays and fatigue tests may show high variance requiring larger n than planned. Scalability and manufacturability limits: spinneret fouling, inconsistent coaxial sheath flows, and difficulty maintaining low oxygen at high throughput. Modeling and compute: Bayesian calibration of a 3D phase-field–elastic model is compute intensive and may be infeasible if HPC resources are limited. Generalization: results may not transfer to other chemistries or much thicker filaments; sterilization (gamma, EtO) or chemical functionalization steps may alter microphase structure, limiting biointegration. Regulatory/translation limits: long-term biostability and in vivo responses are not addressed here and may differ from in vitro assays.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