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ml_soundscape_bird_diversity</w:t>
      </w:r>
    </w:p>
    <w:p>
      <w:r>
        <w:t xml:space="preserve"> </w:t>
      </w:r>
    </w:p>
    <w:p>
      <w:pPr>
        <w:pStyle w:val="Heading2"/>
      </w:pPr>
      <w:r>
        <w:t>Title</w:t>
      </w:r>
    </w:p>
    <w:p>
      <w:r>
        <w:t>Comparative evaluation of machine learning soundscape component recognition and acoustic-index methods for assessing bird diversity from passive acoustic recordings</w:t>
      </w:r>
    </w:p>
    <w:p>
      <w:r>
        <w:t xml:space="preserve"> </w:t>
      </w:r>
    </w:p>
    <w:p>
      <w:pPr>
        <w:pStyle w:val="Heading2"/>
      </w:pPr>
      <w:r>
        <w:t>Short Hypothesis</w:t>
      </w:r>
    </w:p>
    <w:p>
      <w:r>
        <w:t>Component-recognition models that produce calibrated per-event detection probabilities cause more accurate and less biased site-level occupancy estimates than acoustic-index-based summaries when both are evaluated under realistic field noise, device variability, and held-out site conditions.</w:t>
      </w:r>
    </w:p>
    <w:p>
      <w:r>
        <w:t xml:space="preserve"> </w:t>
      </w:r>
    </w:p>
    <w:p>
      <w:pPr>
        <w:pStyle w:val="Heading2"/>
      </w:pPr>
      <w:r>
        <w:t>Related Work</w:t>
      </w:r>
    </w:p>
    <w:p>
      <w:r>
        <w:t>Two broad approaches exist for acoustic bird diversity assessment. Soundscape component recognition uses supervised machine learning (e.g., convolutional neural networks, recurrent nets, transformers) to detect and classify individual vocal events and outputs per-event scores (a per-event score is a number indicating model confidence that an event belongs to a species). Strengths: species-level specificity and potential for downstream ecological models. Weaknesses: requires labeled examples, often poorly calibrated probabilities, and limited generalization across sites/devices. Acoustic indices compute summary statistics from continuous audio (e.g., acoustic complexity, entropy, bioacoustic index) and map those summaries to diversity or richness with simple models (e.g., regression). Strengths: low-data, fast, interpretable summaries. Weaknesses: low taxonomic specificity, sensitive to noise and recorder type, and poor linkage to occupancy. Recent directions include transfer learning, self-supervised pretraining, source separation, few-shot methods, and hierarchical occupancy modeling to propagate uncertainty. Open issues: calibration sample-size requirements, multi-label overlap handling (simultaneous vocalizations), robust held-out site/device benchmarks, and reproducible decision rules for thresholding and augmentation provenance.</w:t>
      </w:r>
    </w:p>
    <w:p>
      <w:r>
        <w:t xml:space="preserve"> </w:t>
      </w:r>
    </w:p>
    <w:p>
      <w:pPr>
        <w:pStyle w:val="Heading2"/>
      </w:pPr>
      <w:r>
        <w:t>Abstract</w:t>
      </w:r>
    </w:p>
    <w:p>
      <w:r>
        <w:t>We evaluate and compare two machine learning strategies for estimating bird diversity from passive acoustic soundscapes: (1) soundscape component recognition models that detect and classify individual vocal events and produce per-event probabilities, and (2) acoustic-index methods that summarize continuous recordings into global features used to infer diversity. The study runs both approaches on common transfer datasets and on a stratified pilot ARU (autonomous recording unit) deployment with immutable held-out site and device splits. We integrate calibrated per-event probabilities into hierarchical occupancy models to obtain site-level presence estimates and quantify uncertainty. Contributions include a reproducible experimental protocol with stratified benchmarks, decision rules for calibration and corroboration, and a factorial ablation suite that tests self-supervised pretraining, source separation, few-shot modules, and on-device quantization. Expected outcomes are clear, quantifiable comparisons of occupancy accuracy, calibration, and robustness to noise and device variation, plus operational guidance on when each approach is preferable for ecological monitoring.</w:t>
      </w:r>
    </w:p>
    <w:p>
      <w:r>
        <w:t xml:space="preserve"> </w:t>
      </w:r>
    </w:p>
    <w:p>
      <w:pPr>
        <w:pStyle w:val="Heading2"/>
      </w:pPr>
      <w:r>
        <w:t>Experiments</w:t>
      </w:r>
    </w:p>
    <w:p>
      <w:r>
        <w:t>Datasets: (a) public repositories with license checks: Xeno-canto, BirdCLEF, BirdVox flight calls, AudioSet negatives; (b) pilot ARU deployment: 20 ARUs across 4–6 stratified sites producing long-form recordings (≥1 h per site); (c) DOI'd held-out manifest of 10,000 annotated clips (5s/10s) stratified: 30% rare species, 20% nocturnal, 20% understory, device and site holdout. Baselines: (1) Component recognition: pretrained CNN+transformer backbone fine-tuned on target data producing per-event probabilities; (2) Acoustic-index pipeline: compute set of indices {Acoustic Complexity Index, Bioacoustic Index, Spectral Entropy, Acoustic Evenness} aggregated per-clip and mapped to species-level signals with a random forest classifier; (3) Hybrid fusion: index features concatenated with model embeddings; (4) Null: VAD-only event counts thresholded for presence. Calibration rule: apply Platt scaling when per-species calibration detections n &lt; 200; apply isotonic regression when n ≥ 200 (calibration performed inside cross-validation folds to avoid leakage). Evaluation metrics: per-species precision, recall, F1, AUC; calibration: Brier score and Expected Calibration Error (ECE); site-level: occupancy bias Δψ = estimated ψ − true ψ, 95% credible interval coverage; multi-label/separation: SI-SDR (scale-invariant signal-to-distortion ratio) for separation quality and downstream Δψ under separation/no separation; on-device: model size (MB), inference latency (ms per 10s clip), and energy draw (mAh over 24h). Experimental setup: train/val/test with site-holdout and device-holdout folds (no overlap of sites across splits). Inference: feed per-event calibrated probabilities p_ij into hierarchical Bayesian occupancy model implemented in Stan with MCMC (weakly informative priors); compute posterior medians and 95% credible intervals. Ablations: factorial comparisons of (A) self-supervised pretraining vs none, (B) source separation vs none, (C) few-shot prototypical module vs standard classifier, (D) quantization/pruning levels (FP32, FP16, INT8) for on-device tradeoffs. Report results aggregated by abundance bin (common/moderate/rare/very-rare) and by noise regime/device type.</w:t>
      </w:r>
    </w:p>
    <w:p>
      <w:r>
        <w:t xml:space="preserve"> </w:t>
      </w:r>
    </w:p>
    <w:p>
      <w:pPr>
        <w:pStyle w:val="Heading2"/>
      </w:pPr>
      <w:r>
        <w:t>Risk Factors And Limitations</w:t>
      </w:r>
    </w:p>
    <w:p>
      <w:r>
        <w:t>Label scarcity: many species will have few labeled events, causing unreliable calibration and unstable model fit (calibration fails when n is very small). Domain shift: models trained on public datasets may not generalize to new sites, habitats, or recorder types. Acoustic-index sensitivity: indices are strongly affected by non-bird noise (wind, insects, machinery) and recorder response, causing biased diversity estimates. Source separation failure: poor separation on overlapping calls can introduce false positives or distort features, shifting occupancy estimates. Multi-label overlap: simultaneous vocalizations complicate event-level scoring and evaluation. Compute constraints: on-device quantized models may lose accuracy, and MCMC-based occupancy inference is compute- and time-intensive. Annotation bias: citizen-science labels can contain systematic errors by taxon or region, biasing training and evaluation. Privacy/ethics constraints: embargoes and fuzzing reduce usable location precision for ecological validation. Reproducibility gaps: unless manifests, checksums, model checkpoints, and CI tests are published, results may not be repeatable.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