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cleavenet_mmp_design</w:t>
      </w:r>
    </w:p>
    <w:p>
      <w:r>
        <w:t xml:space="preserve"> </w:t>
      </w:r>
    </w:p>
    <w:p>
      <w:pPr>
        <w:pStyle w:val="Heading2"/>
      </w:pPr>
      <w:r>
        <w:t>Title</w:t>
      </w:r>
    </w:p>
    <w:p>
      <w:r>
        <w:t>Conditional deep generative modeling combined with multi-output sequence-to-function prediction for designing 10-mer substrates for matrix metalloproteinases</w:t>
      </w:r>
    </w:p>
    <w:p>
      <w:r>
        <w:t xml:space="preserve"> </w:t>
      </w:r>
    </w:p>
    <w:p>
      <w:pPr>
        <w:pStyle w:val="Heading2"/>
      </w:pPr>
      <w:r>
        <w:t>Short Hypothesis</w:t>
      </w:r>
    </w:p>
    <w:p>
      <w:r>
        <w:t>Conditioning a peptide generative model on predicted multi-output cleavage profiles from a sequence-to-function predictor increases the fraction of designed 10-mer peptides cleaved by target MMPs (kcat/KM &gt; 1e4 M^-1 s^-1) among the top-24 ranked candidates compared to unconditioned generation or motif-based baselines.</w:t>
      </w:r>
    </w:p>
    <w:p>
      <w:r>
        <w:t xml:space="preserve"> </w:t>
      </w:r>
    </w:p>
    <w:p>
      <w:pPr>
        <w:pStyle w:val="Heading2"/>
      </w:pPr>
      <w:r>
        <w:t>Related Work</w:t>
      </w:r>
    </w:p>
    <w:p>
      <w:r>
        <w:t>Existing approaches for protease substrate design include motif/PSSM scoring (position-specific scoring matrix: counts or log-odds per position), positional scanning libraries, simple physicochemical regression models, and recent machine-learning classifiers or regressors that predict cleavage propensity. Prior generative peptide work produces sequences by sampling unconditional models or by heuristics (e.g., motif grafting). Limitations in prior work: many predictors output a single cleavage score rather than multi-output kinetic parameters (kcat, KM, cleavage site specificity across positions), probabilistic predictions are poorly calibrated (predicted probability does not match empirical frequency), generative models are rarely conditioned on desired multi-output profiles, negative sampling is often naive leading to label leakage, interpretability tools are not routinely tied to wet-lab mutational validation, and pipelines typically lack synthetic-tractability checks (solubility, synthesis difficulty) and rigorous assay normalization across covariates. These gaps limit scalable, tunable in-silico nomination of substrates for specific proteases.</w:t>
      </w:r>
    </w:p>
    <w:p>
      <w:r>
        <w:t xml:space="preserve"> </w:t>
      </w:r>
    </w:p>
    <w:p>
      <w:pPr>
        <w:pStyle w:val="Heading2"/>
      </w:pPr>
      <w:r>
        <w:t>Abstract</w:t>
      </w:r>
    </w:p>
    <w:p>
      <w:r>
        <w:t>Designing short peptide substrates that are specifically cleaved by target proteases is important for assays and diagnostics. We propose an end-to-end pipeline that pairs a multi-output sequence-to-function predictor (outputs include predicted cleavage probability and estimated kinetic parameters across positions) with a conditional peptide generator to design 10-mer substrates for matrix metalloproteinases (MMPs). The main contribution is a conditional generative procedure that steers peptide proposals toward user-specified cleavage profiles, combined with calibrated uncertainty (deep ensembles + temperature scaling) and a rule set for synthetic tractability. Expected outcome: a higher hit rate of experimentally validated, specific MMP substrates from top-ranked designs versus unconditioned or motif-based baselines, plus an interpretable attribution map linking sequence positions (P4–P4') to model predictions to support mechanistic validation. The pipeline targets reproducible candidate nomination aligned with synthesis and MS quantitation workflows.</w:t>
      </w:r>
    </w:p>
    <w:p>
      <w:r>
        <w:t xml:space="preserve"> </w:t>
      </w:r>
    </w:p>
    <w:p>
      <w:pPr>
        <w:pStyle w:val="Heading2"/>
      </w:pPr>
      <w:r>
        <w:t>Experiments</w:t>
      </w:r>
    </w:p>
    <w:p>
      <w:r>
        <w:t>Datasets: (1) in-house mRNA-display dataset of peptides for multiple MMPs with annotated cleavage sites and kinetics (P4–P4' positions labeled); (2) external protease repositories for additional negatives (MEROPS-like); (3) pilot synthesized validation set: 60 model-nominated 10-mer peptides stratified by predicted score and diversity; (4) pre-registered external holdouts: caspase-3, trypsin, thrombin, MMP-9, cathepsin B. Baselines: (A) PSSM/motif scoring baseline (position-wise frequency log-odds), (B) logistic regression on physicochemical features (hydropathy, net charge, steric bulk), (C) unconditional peptide generator (same architecture but unconditioned), (D) motif-grafted generator (heuristic). Metrics: primary: top-24 hit rate (fraction of top-24 candidates with experimental kcat/KM &gt; 1e4 M^-1 s^-1); secondary: per-peptide kcat/KM with 95% bootstrap CI, Spearman rank correlation between predicted and measured kcat/KM, AUC for binary cleavable vs non-cleavable (threshold anchored to LOQ), Expected Calibration Error (ECE) and Brier score for probability outputs, mean absolute error (MAE) for kinetic regressions, and attribution stability (bootstrap correlation of position attributions). Experimental setup: modeling: train multi-output transformer predictor on training folds, produce a conditional generator fine-tuned to map target cleavage profiles to sequences; use deep ensemble of 5 predictors with temperature scaling for calibration. Acquisition: select batches of 24–48 sequences using hybrid score = predicted cleavage probability × (1 + normalized uncertainty) + diversity penalty (clustering in embedding space). Synthesis and assay: synthesize batches (2–5 µmol scale) with enforced synthetic filters (canonical AAs, length 10, net charge −3 to +3); measure kinetics by targeted LC-MS PRM: time points 0, 0.5, 1, 2, 5, 10 min; five substrate concentrations spanning 0.1–10× estimated KM; 3 technical replicates × 3 independent days. Data processing: normalize to heavy internal standards, extract initial rates, fit Michaelis-Menten to report kcat, KM, and kcat/KM with bootstrap CIs. Statistical tests: compare top-24 hit rates between methods using permutation test (two-sided) and compute 95% CI via bootstrap; compare rank correlations via Fisher z-transform; report calibration metrics per-protease. Power and sensitivity: perform sensitivity analysis across CV ∈ {20%,30%,40%,60%} and effect sizes (1.5×, 2×, 3×) to recompute required biological replicate counts; report these analyses. Ablations: (1) remove conditioning from generator, (2) replace ensemble calibration with single model, (3) vary negative sampling strategy (composition-matched shuffle vs cross-protease vs adversarial), (4) remove synthetic-tractability filters, (5) exclude attribution-guided candidate selection. Interpretability validation: select 8 high-confidence position attributions per protease, design site-directed mutagenesis series (P1 ±1, P4–P4' hotspots), and perform docking/short MD for predicted contacts; success criterion for mutagenesis: observed directional fold-change &gt;2× in kcat/KM with CI excluding 1. Reporting: provide per-sequence data table (sequence, predicted outputs, uncertainty, synthetic tractability flags, measured kinetics with CI, QC flags), and pre-registered comparisons on holdout proteases.</w:t>
      </w:r>
    </w:p>
    <w:p>
      <w:r>
        <w:t xml:space="preserve"> </w:t>
      </w:r>
    </w:p>
    <w:p>
      <w:pPr>
        <w:pStyle w:val="Heading2"/>
      </w:pPr>
      <w:r>
        <w:t>Risk Factors And Limitations</w:t>
      </w:r>
    </w:p>
    <w:p>
      <w:r>
        <w:t>Assay sensitivity and LOQ coupling: measured kcat/KM may be below limit of quantitation for low-activity peptides, making labels noisy or censored. Label uncertainty propagation: bootstrap CI on kinetics may be wide, reducing training signal and harming learning. Negative sampling leakage: composition-matched shuffles or motif-similar negatives can still be near-positives, producing label leakage and biased classifiers. Calibration and domain shift: predictors may be poorly calibrated on new proteases or on sequences outside training distribution. Generative failure modes: conditional generator may collapse to narrow motifs or produce sequences that are synthetically difficult despite filters. Interpretability limits: attribution maps (attention, Integrated Gradients, SHAP) can be unstable across models and data splits, producing false mechanistic hypotheses. Computational cost: ensembles, docking, and short MD scale cost and time; MD per candidate can be expensive. Generalization limits: models trained on MMPs or mRNA-display data may not generalize to other protease classes or to complex biological matrices (serum, plasma). Population immunogenicity: immunogenicity predictors may have variable accuracy across HLA alleles and populations, leading to incomplete risk assessment. Data bias: training data may over-represent certain motifs or assay conditions (pH, buffer), causing covariate-linked prediction bias.</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