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mbpo_residual_bipedal_survey</w:t>
      </w:r>
    </w:p>
    <w:p>
      <w:r>
        <w:t xml:space="preserve"> </w:t>
      </w:r>
    </w:p>
    <w:p>
      <w:pPr>
        <w:pStyle w:val="Heading2"/>
      </w:pPr>
      <w:r>
        <w:t>Title</w:t>
      </w:r>
    </w:p>
    <w:p>
      <w:r>
        <w:t>Comparative evaluation of MBPO-style probabilistic world-models with residual policies and hierarchical deep reinforcement learning for robotic bipedal locomotion</w:t>
      </w:r>
    </w:p>
    <w:p>
      <w:r>
        <w:t xml:space="preserve"> </w:t>
      </w:r>
    </w:p>
    <w:p>
      <w:pPr>
        <w:pStyle w:val="Heading2"/>
      </w:pPr>
      <w:r>
        <w:t>Short Hypothesis</w:t>
      </w:r>
    </w:p>
    <w:p>
      <w:r>
        <w:t>For Cassie-like and Digit-like platforms, an MBPO-style probabilistic ensemble dynamics model combined with a low-level residual policy on top of an impedance controller will achieve ≥80% of simulated flat-ground performance within ≤10 real trials using ≤5×10^6 simulated steps, while a pure model-free SAC baseline will require either more than 10 real trials or more than 5×10^6 simulated steps to reach the same performance.</w:t>
      </w:r>
    </w:p>
    <w:p>
      <w:r>
        <w:t xml:space="preserve"> </w:t>
      </w:r>
    </w:p>
    <w:p>
      <w:pPr>
        <w:pStyle w:val="Heading2"/>
      </w:pPr>
      <w:r>
        <w:t>Related Work</w:t>
      </w:r>
    </w:p>
    <w:p>
      <w:r>
        <w:t>Prior work spans end-to-end deep reinforcement learning (DRL) for locomotion, hierarchical control that splits high-level gait planning and low-level stabilization, model-based methods that learn world models for synthetic rollouts, and residual policies that correct model-based or classical controllers. Common strengths include strong simulated performance and isolated hardware demonstrations. Common weaknesses are: high sample cost in real robots, large and task-dependent sim-to-real gaps, limited ablation studies comparing model-based versus model-free in the same pipeline, inconsistent domain randomization practices (often uncorrelated sampling), and sparse use of control-theoretic verification (stability, reachability). Few works provide standardized benchmarks, pre-registered ablations, or identifiability analyses for simulator parameters (which limits principled domain randomization). Safety stacks and reproducible CI artifacts are rarely reported in a uniform way across morphologies.</w:t>
      </w:r>
    </w:p>
    <w:p>
      <w:r>
        <w:t xml:space="preserve"> </w:t>
      </w:r>
    </w:p>
    <w:p>
      <w:pPr>
        <w:pStyle w:val="Heading2"/>
      </w:pPr>
      <w:r>
        <w:t>Abstract</w:t>
      </w:r>
    </w:p>
    <w:p>
      <w:r>
        <w:t>This work studies how MBPO-style probabilistic world models paired with residual policies compare to pure model-free and hierarchical DRL approaches for bipedal robot locomotion. We focus on two representative morphologies (Cassie-like and Digit-like) and four tasks: flat-ground walking, rough terrain, stairs, and push recovery. Our approach evaluates an ensemble probabilistic dynamics model (state-action to next-state distribution) used for synthetic rollouts (MBPO) together with a low-level residual policy that corrects an impedance controller (residual = learned torque correction). The main contribution is a systematic, reproducible comparison that pre-registers baselines, hyperparameters, identifiability protocols, correlated domain-randomization schemes, safety-shield (control barrier function) checks, and statistical regimens. Expected outcomes are quantified sim-to-real transfer budgets, sample-efficiency comparisons (sim steps and real trials), and failure taxonomies that reveal when residual world-model architectures outperform end-to-end and hierarchical baselines. The study aims to produce actionable benchmarks, CI artifacts, and reproducible protocols for the community.</w:t>
      </w:r>
    </w:p>
    <w:p>
      <w:r>
        <w:t xml:space="preserve"> </w:t>
      </w:r>
    </w:p>
    <w:p>
      <w:pPr>
        <w:pStyle w:val="Heading2"/>
      </w:pPr>
      <w:r>
        <w:t>Experiments</w:t>
      </w:r>
    </w:p>
    <w:p>
      <w:r>
        <w:t>Datasets and environments: simulated Cassie-like and Digit-like environments implemented in MuJoCo or IsaacGym with identical reference tasks: flat-ground walking, rough terrain (random height/depth perturbations), a fixed stair sequence, and standardized lateral/longitudinal pushes. Use hardware trials on representative platforms when safety envelope criteria are met. Baselines: SAC (model-free), TD3 (model-free), MBPO (model-based with ensemble dynamics), MBPO+residual (ensemble dynamics + low-level residual torque over impedance controller), MPC-hybrid (model predictive controller baseline), and classical PD/inverse-dynamics controllers as non-learning baselines. Evaluation metrics: normalized mean episode return (NMER), task success rates (flat: NMER ≥0.80), trials-to-threshold (real trials to reach X% sim performance), mean-time-to-fall, Cost of Transport (energy per distance), peak/RMS joint torques, sim-to-real transfer gap, and safety intervention rate (CBF/shield activations). Experimental setup: preregister hyperparameters and training budgets per baseline; per-seed simulation budgets per task: flat 5×10^6 steps, rough 1×10^7, stairs 2×10^7, push 7×10^6; run N≥10 seeds per condition for primary endpoints (pilot N=3–5 then expand), report mean ±95% CI. Domain randomization: correlated multivariate sampling around ID posterior with curriculum (narrow→wide). System ID: two-stage BO then gradient refinement with differentiable sim; excitation trajectories include joint sweeps and chirps. Ablations: (1) model-free vs model-based, (2) residual-on vs residual-off (end-to-end), (3) high-level residual vs low-level residual, (4) model rollout length (1→15), (5) domain-randomization magnitude levels, (6) CBF/shield on vs off. Statistical tests: paired t-tests or Wilcoxon, ANOVA+Tukey for multi-group; preregister stopping rules and safety cutoffs. Logging: per-step contact impulses, commanded vs measured torques, torque-saturation flags, latencies, and fall events for RCA.</w:t>
      </w:r>
    </w:p>
    <w:p>
      <w:r>
        <w:t xml:space="preserve"> </w:t>
      </w:r>
    </w:p>
    <w:p>
      <w:pPr>
        <w:pStyle w:val="Heading2"/>
      </w:pPr>
      <w:r>
        <w:t>Risk Factors And Limitations</w:t>
      </w:r>
    </w:p>
    <w:p>
      <w:r>
        <w:t>Actuator and sensor mismatch between sim and hardware can produce large sim-to-real gaps that invalidate learned policies. Some simulator parameters may be unidentifiable (collinear effects of mass, inertia, and friction), reducing the effectiveness of ID and correlated domain randomization. MBPO-style world models can be brittle if model bias grows with rollout length, causing degraded policy updates. Residual policies may command actions that violate safety envelopes if interface assumptions with the nominal controller are incorrect. Control Barrier Function (CBF) assumptions (control-affine dynamics, known relative degree, bounded estimation error) may not hold, limiting formal guarantees. Compute limits: training budgets (tens of millions of sim steps) require significant GPU time and wall clock, which can constrain reproducibility. Results may not generalize beyond the chosen morphologies or to highly different terrains or payloads. Hardware trials carry inherent safety risks and require trained personnel and conservative escalation; early-phase results may be limited by safety constraints.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