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robust_xgb_shap_carbonation</w:t>
      </w:r>
    </w:p>
    <w:p>
      <w:r>
        <w:t xml:space="preserve"> </w:t>
      </w:r>
    </w:p>
    <w:p>
      <w:pPr>
        <w:pStyle w:val="Heading2"/>
      </w:pPr>
      <w:r>
        <w:t>Title</w:t>
      </w:r>
    </w:p>
    <w:p>
      <w:r>
        <w:t>Designing a robust XGBoost model with SHAP-based interpretation for predicting carbonation depth in recycled aggregate concrete</w:t>
      </w:r>
    </w:p>
    <w:p>
      <w:r>
        <w:t xml:space="preserve"> </w:t>
      </w:r>
    </w:p>
    <w:p>
      <w:pPr>
        <w:pStyle w:val="Heading2"/>
      </w:pPr>
      <w:r>
        <w:t>Short Hypothesis</w:t>
      </w:r>
    </w:p>
    <w:p>
      <w:r>
        <w:t>Applying constrained XGBoost together with SHAP interpretability and transfer calibration will predict carbonation depth in recycled aggregate concrete more accurately and with better-calibrated predictive intervals than classical Fickian baselines and standard linear models across accelerated and field tests.</w:t>
      </w:r>
    </w:p>
    <w:p>
      <w:r>
        <w:t xml:space="preserve"> </w:t>
      </w:r>
    </w:p>
    <w:p>
      <w:pPr>
        <w:pStyle w:val="Heading2"/>
      </w:pPr>
      <w:r>
        <w:t>Related Work</w:t>
      </w:r>
    </w:p>
    <w:p>
      <w:r>
        <w:t>Prior work applies machine learning, especially gradient-boosted trees, to predict concrete properties and has recently used SHAP for explanation. Existing approaches often show high point accuracy but have limited treatment of (1) mechanistic baselines (diffusion/Fickian) for physics checks, (2) calibrated predictive intervals across exposure types, (3) transfer calibration from accelerated to natural tests, (4) measurement-error propagation into explanations, and (5) prespecified ablation and reproducibility rules. Limitations include weak handling of multicollinearity which can distort feature attributions, lack of bootstrap/MI quantification for SHAP uncertainty, few studies that enforce or evaluate monotonic physical constraints, and sparse prespecified decision thresholds for SHAP–physics conflicts. These gaps reduce trust for engineering deployment and make comparisons across models less reproducible.</w:t>
      </w:r>
    </w:p>
    <w:p>
      <w:r>
        <w:t xml:space="preserve"> </w:t>
      </w:r>
    </w:p>
    <w:p>
      <w:pPr>
        <w:pStyle w:val="Heading2"/>
      </w:pPr>
      <w:r>
        <w:t>Abstract</w:t>
      </w:r>
    </w:p>
    <w:p>
      <w:r>
        <w:t>We address prediction and interpretable uncertainty quantification of carbonation depth in recycled aggregate concrete (RAC). We propose a reproducible pipeline combining a mechanistic diffusion baseline and a robust XGBoost ensemble whose explanations use TreeSHAP with uncertainty from bootstrap and multiple imputation. The pipeline includes monotonicity constraints on physically directed features, transfer calibration from accelerated to natural tests via a subgroup scaling K_field = a·K_accel^b (and a hierarchical Bayesian alternative), and calibrated predictive intervals using Mondrian/CV+ conformal methods. Main contributions are (1) a prespecified ablation matrix comparing eight algorithms and six input configurations, (2) SHAP stability and pooling procedures that quantify measurement-error impact on attributions, and (3) numeric decision rules for SHAP–physics conflicts, active learning triggers, and identifiability checks. Expected outcome: a validated, interpretable predictor that outperforms classical Fickian baselines on held-out field data, yields calibrated uncertainty ensembles, and provides reproducible SHAP explanations acceptable for engineering use.</w:t>
      </w:r>
    </w:p>
    <w:p>
      <w:r>
        <w:t xml:space="preserve"> </w:t>
      </w:r>
    </w:p>
    <w:p>
      <w:pPr>
        <w:pStyle w:val="Heading2"/>
      </w:pPr>
      <w:r>
        <w:t>Experiments</w:t>
      </w:r>
    </w:p>
    <w:p>
      <w:r>
        <w:t>Datasets: assemble a pooled RAC carbonation dataset containing both accelerated and natural (field) tests with phenolphthalein-measured carbonation depth, SCM labels, RA properties (replacement %, absorption, adhered mortar), environmental conditions (RH, T, CO2), cover depth, and age. Target sizes: primary experiments for N in [300,1000]; ensure minimum 30–50 independent samples per critical subgroup (high/low RA, accelerated/field, SCM types). Splits: nested cross-validation with outer 5 folds (stratified by test-type and RA bin) and inner 3 folds for tuning; reserve an external accelerated-&gt;field holdout (site/temporal holdout) never used in training. Baselines: (A) mechanistic Fickian empirical baseline x(t)=K·sqrt(t) fit by OLS per subgroup; (B) physically-parameterized Fick model x(t)=sqrt(2·D_eff·C_CO2·t/S_eq) with Arrhenius and RH corrections fit per subgroup; (C) multiple linear regression (MLR). Machine-learning models: NGBoost, GBRT, AdaBoost, CatBoost, XGBoost (constrained/unconstrained), LightGBM, HistGBRT. Input configurations (six): 1) full feature set; 2) reduced RA (only replacement %); 3) RA microstructure set (absorption, adhered mortar, porosity); 4) SCM-split features (FA vs slag separate); 5) mechanistic-only features (effective w/c, paste fraction, porosity, duration, environment); 6) environmental-only (RH, T, CO2, duration, cover). Ablations: constrained vs unconstrained XGBoost; full vs reduced RA; SCM split vs aggregated; accelerated-only vs field-only vs combined with transfer calibration. Transfer calibration: fit K_field = a·K_accel^b (MLE and Bayesian with priors a~LogNormal(0,0.5), b~TruncatedNormal(1,0.3)); alternative hierarchical residual mapping. SHAP and interpretability: compute interventional TreeSHAP using a stratified medoid background built from training folds; compute conditional SHAP for top-5 correlated pairs via Gaussian copula with diagnostics (QQ, PIT, tail-mass ratio) and fallback to conditional nearest-neighbor bootstrap if diagnostics fail. Uncertainty procedures: multiple imputation M in {50,100,200} for measurement-error propagation; bootstrap ensemble N=100 for algorithmic variance; pool SHAP via Rubin’s rules and validate against within-imputation bootstrap (accept Rubin if pooled CI shift ≤10%). Predictive intervals: Mondrian cross-conformal or CV+ stratified by exposure and RA bin; report empirical coverage, interval width, interval score. Metrics: RMSE, MAE, R², Brier score for exceedance probabilities, predictive interval empirical coverage vs nominal (90/95%), interval score, SHAP stability metrics (bootstrap mean |SHAP| CI, top-10 Jaccard with threshold ≥0.70, Spearman rank), SHAP monotonicity score with cutoff 0.80 (flag if &lt;0.80), conditional SHAP mean-abs diff flagged if &gt;20% of mean|SHAP|, active-learning trigger when top-5 SHAP variance &gt;20% above median feature variance. Statistical controls: correct multiple ablation comparisons using FDR at 0.05 (Benjamini-Hochberg). Tuning and training: prespecified hyperparameter grids for each model and early stopping (patience 50 rounds) inside inner CV. Reporting: provide per-ablation held-out metrics, subgroup residual plots, SHAP global and subgroup summaries with 95% CIs, transfer calibration posteriors and identifiability diagnostics (posterior corr threshold &lt;0.9, ESS&gt;200), and compute budgets.</w:t>
      </w:r>
    </w:p>
    <w:p>
      <w:r>
        <w:t xml:space="preserve"> </w:t>
      </w:r>
    </w:p>
    <w:p>
      <w:pPr>
        <w:pStyle w:val="Heading2"/>
      </w:pPr>
      <w:r>
        <w:t>Risk Factors And Limitations</w:t>
      </w:r>
    </w:p>
    <w:p>
      <w:r>
        <w:t>Data quantity and coverage: available datasets may not reach the target N or may underrepresent critical subgroups, limiting generalization and transfer calibration identifiability. Measurement errors and missingness: systematic instrument bias or MNAR (missing not at random) can distort pooled SHAP and predictions; multiple-imputation assumptions (MAR) may be violated. Multicollinearity: highly correlated input features can make feature attributions unstable even after grouping or residualization; SHAP interaction values may be hard to interpret in those regimes. Transfer calibration identifiability: parameters a and b may be weakly identified if accelerated tests do not span the same physics as field tests, yielding high posterior correlations (&gt;0.9) and low ESS. Heteroscedasticity and nonstationarity: noise levels that vary across strata or time can break conformal calibration and lead to miscoverage in subgroups. Monotonicity constraints: enforcing monotonicity may mask true nonmonotonic interactions and degrade predictive accuracy beyond acceptable thresholds. Computational limits: bootstrap ensembles, multiple imputations, Bayesian calibration, and SHAP bootstraps increase compute needs (hours on CPU cluster); limited hardware may force smaller bootstrap/MI counts and reduce uncertainty resolution. Evaluation bias: use of multiple ablations and exploratory checks risks p-hacking if prespecified controls or thresholds are not strictly enforced.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