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pd_acetate_oligomer_dynamics</w:t>
      </w:r>
    </w:p>
    <w:p>
      <w:r>
        <w:t xml:space="preserve"> </w:t>
      </w:r>
    </w:p>
    <w:p>
      <w:pPr>
        <w:pStyle w:val="Heading2"/>
      </w:pPr>
      <w:r>
        <w:t>Title</w:t>
      </w:r>
    </w:p>
    <w:p>
      <w:r>
        <w:t>In situ and computational investigation of Pd-acetate dimer and trimer dynamics on supported catalysts during gas-phase vinyl acetate synthesis</w:t>
      </w:r>
    </w:p>
    <w:p>
      <w:r>
        <w:t xml:space="preserve"> </w:t>
      </w:r>
    </w:p>
    <w:p>
      <w:pPr>
        <w:pStyle w:val="Heading2"/>
      </w:pPr>
      <w:r>
        <w:t>Short Hypothesis</w:t>
      </w:r>
    </w:p>
    <w:p>
      <w:r>
        <w:t>The presence of supported molecular Pd-acetate dimers and trimers increases vinyl acetate turnover frequency and shifts the rate-determining step relative to monomeric Pd sites under KOAc-promoted gas-phase conditions.</w:t>
      </w:r>
    </w:p>
    <w:p>
      <w:r>
        <w:t xml:space="preserve"> </w:t>
      </w:r>
    </w:p>
    <w:p>
      <w:pPr>
        <w:pStyle w:val="Heading2"/>
      </w:pPr>
      <w:r>
        <w:t>Related Work</w:t>
      </w:r>
    </w:p>
    <w:p>
      <w:r>
        <w:t>Operando X-ray absorption (XANES/EXAFS), infrared spectroscopy (DRIFTS), electron microscopy, electrospray ionization mass spectrometry (ESI-MS), and density functional theory (DFT) have been used separately to observe Pd speciation and reaction pathways in C–C and C–O coupling reactions. Prior computational studies characterized small Pd clusters and acetate ligands in vacuum or implicit solvent, and EXAFS/XANES analyses have been applied to detect Pd–Pd coordination changes during catalysis. Limitations include spectral non-uniqueness (different structures produce similar spectra), weak time-resolved linkage between bulk spectroscopy and site-resolved imaging, sparse quantitative uncertainty propagation from forward models (FEFF) into species fractions, limited benchmarking of DFT energies against higher-level methods, and insufficient integration of transient kinetic data with spectroscopic speciation. Existing methods therefore cannot reliably resolve dynamic monomer/dimer/trimer populations, their interconversion timescales, or their causal impact on intrinsic rates.</w:t>
      </w:r>
    </w:p>
    <w:p>
      <w:r>
        <w:t xml:space="preserve"> </w:t>
      </w:r>
    </w:p>
    <w:p>
      <w:pPr>
        <w:pStyle w:val="Heading2"/>
      </w:pPr>
      <w:r>
        <w:t>Abstract</w:t>
      </w:r>
    </w:p>
    <w:p>
      <w:r>
        <w:t>We address whether supported molecular Pd-acetate dimers and trimers control activity and mechanism in gas-phase vinyl acetate synthesis (ethylene + acetic acid) promoted by potassium acetate (KOAc). We combine operando quick-XAS/EXAFS and XANES, DRIFTS, stopped-flow ESI-MS, low-dose ETEM/STEM with EELS, and targeted synthesis of Pd2/3 acetate standards, integrated with DFT and DLPNO-CCSD(T) benchmarking. A hierarchical Bayesian fusion links time-resolved spectroscopic observables, imaging counts, and ESI-MS signals to microkinetic ordinary differential equations that predict species fractions and rate constants with credible intervals. Main contributions: (1) a validated FEFF-based forward model with per-path uncertainty for EXAFS, (2) a quantitative decision tree to assign monomer/dimer/trimer states from orthogonal signatures, and (3) microkinetic inference tying oligomer populations to turnover frequency and rate-determining steps. Expected outcomes are definitive identification of active Pd-acetate species, their interconversion timescales, and experimentally grounded rules to stabilize desirable oligomers, enabling reproducible, predictive catalyst design.</w:t>
      </w:r>
    </w:p>
    <w:p>
      <w:r>
        <w:t xml:space="preserve"> </w:t>
      </w:r>
    </w:p>
    <w:p>
      <w:pPr>
        <w:pStyle w:val="Heading2"/>
      </w:pPr>
      <w:r>
        <w:t>Experiments</w:t>
      </w:r>
    </w:p>
    <w:p>
      <w:r>
        <w:t>Datasets: (1) Synthesized catalysts: Pd(OAc)2 impregnated on SiO2, TiO2 (anatase), and activated carbon at loadings 0.2, 0.5, 1.0, and 2.0 wt% (three independent synthesis batches per condition). (2) Reference standards: Pd foil, PdO, PdO2, bulk Pd(OAc)2, synthesized Pd2(OAc)4 and Pd3(OAc)6, and ligand-trapped monomeric Pd(II) complexes. (3) Catalytic runs: continuous-flow microreactor steady-state and transient pulse experiments under ethylene, acetic acid, O2, with KOAc promoter. Baselines: (A) catalysts with acetate removed (calcined), (B) Pd nanoparticle-decorated supports, (C) monomer-trapped samples (PPh3/CO). Measurements per sample: quick-XAS/EXAFS (Pd K-edge) time series (target 0.2–1 s resolution; fallback 1–5 s), XANES, DRIFTS, stopped-flow ESI-MS (10–100 ms if available), in situ/ETEM and HAADF-STEM + EELS (low-dose; analyze ≥1000 sites per sample), CO chemisorption, ICP-MS, BET. Replicates: ≥8 independent EXAFS replicates per condition (3 synthesis batches × technical repeats), 5–8 transient ESI-MS replicates. Evaluation metrics: turnover frequency (TOF), selectivity to vinyl acetate, EXAFS-derived Pd–Pd coordination number CN with 95% credible intervals, XANES linear-combination fractions, ESI-MS species concentrations (relative), imaging-derived species fractions with bootstrap CIs, model predictive coverage (% test points inside 95% predictive interval) and RMSE. Experimental setup: quick-XAS/EXAFS using fluorescence detection for low loadings, FEFF forward models for EXAFS fits, hierarchical Bayesian sampler (NUTS) for joint inference of microkinetic parameters and species fractions. Comparison/ablation studies: (1) full Bayesian fusion (EXAFS + imaging + ESI-MS + kinetics) versus EXAFS-only and imaging-only inference to quantify added value of multi-modal fusion; (2) DFT-only priors versus DFT + DLPNO-CCSD(T) corrected priors in microkinetic fits to assess sensitivity to electronic-structure accuracy; (3) high-temporal sampling versus fallback slower sampling to test identifiability (use Fisher information or profile-likelihood metrics). Reporting: all raw files (.xdi/.chi, .dm3/.mrc), metadata, and versioned analysis notebooks.</w:t>
      </w:r>
    </w:p>
    <w:p>
      <w:r>
        <w:t xml:space="preserve"> </w:t>
      </w:r>
    </w:p>
    <w:p>
      <w:pPr>
        <w:pStyle w:val="Heading2"/>
      </w:pPr>
      <w:r>
        <w:t>Risk Factors And Limitations</w:t>
      </w:r>
    </w:p>
    <w:p>
      <w:r>
        <w:t>Spectral non-uniqueness: EXAFS/XANES features from different oligomers or surface motifs may overlap, limiting unique assignments. Beam damage and artefacts: ETEM/STEM and X-ray beams can alter Pd speciation during measurement, reducing representativeness. Instrument temporal limits: ETEM and some beamlines may not reach 10–100 ms sampling; slower sampling reduces ability to resolve fast interconversions. FEFF forward-model errors: inaccuracies in predicted scattering paths and per-path amplitudes introduce bias in inferred CN and species fractions. DFT and benchmark limits: DFT functional errors and limited DLPNO-CCSD(T) sampling may leave residual energetic uncertainty. ESI-MS quantification: variable ionization efficiencies and fragmentation complicate mapping intensities to absolute species fractions. Representativeness: imaging examines local regions and may not reflect bulk catalyst behavior measured by EXAFS and kinetics. Compute and data scale: AIMD, DLPNO corrections, and Bayesian sampling are compute-intensive and may limit the size of the structural library or sampling length. Generalization: findings on selected supports, loadings, and KOAc promotion may not transfer to other supports, promoters, or liquid-phase conditions.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