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gnn_aclp</w:t>
      </w:r>
    </w:p>
    <w:p>
      <w:r>
        <w:t xml:space="preserve"> </w:t>
      </w:r>
    </w:p>
    <w:p>
      <w:pPr>
        <w:pStyle w:val="Heading2"/>
      </w:pPr>
      <w:r>
        <w:t>Title</w:t>
      </w:r>
    </w:p>
    <w:p>
      <w:r>
        <w:t>Graph neural networks for analog circuit port-level link prediction using subgraph learning and LLM-enabled netlist normalization</w:t>
      </w:r>
    </w:p>
    <w:p>
      <w:r>
        <w:t xml:space="preserve"> </w:t>
      </w:r>
    </w:p>
    <w:p>
      <w:pPr>
        <w:pStyle w:val="Heading2"/>
      </w:pPr>
      <w:r>
        <w:t>Short Hypothesis</w:t>
      </w:r>
    </w:p>
    <w:p>
      <w:r>
        <w:t>A SEAL-style subgraph graph neural network (GNN) that uses physics-aware surrogate losses and an LLM-based netlist conversion front end will increase edge-prediction AUC by at least 0.05 absolute versus Adamic-Adar on held-out analog circuits and raise the physically-valid rate by at least 10 percentage points under the stated acceptance thresholds (KCL residuals, node RMSE, gain/bandwidth), with p&lt;0.05 by paired bootstrap.</w:t>
      </w:r>
    </w:p>
    <w:p>
      <w:r>
        <w:t xml:space="preserve"> </w:t>
      </w:r>
    </w:p>
    <w:p>
      <w:pPr>
        <w:pStyle w:val="Heading2"/>
      </w:pPr>
      <w:r>
        <w:t>Related Work</w:t>
      </w:r>
    </w:p>
    <w:p>
      <w:r>
        <w:t>Prior approaches fall into several groups. Rule-based heuristics (rail/port heuristics) use fixed engineering rules to infer connections but fail on complex, implicit bias and feedback paths. Classical graph methods (Common Neighbors, Adamic-Adar) exploit local topology but ignore device semantics and electrical behavior. Generic GNNs learn from whole graphs but often lack subgraph-centric inductive biases needed for link tasks and struggle with long-range electrical dependencies. SEAL-style subgraph methods show state-of-the-art link prediction in non-electrical domains by learning from node-pair enclosing subgraphs, but existing work does not incorporate circuit-level physics or netlist-format variability. Physics-aware machine learning and differentiable surrogates address physical plausibility but typically target component-level prediction or full simulation acceleration, not port-level link recovery. Large language models (LLMs) have been applied to code and format conversion but have not been combined systematically with graph learning for netlist normalization. Limitations across these lines include poor netlist-format adaptability, data scarcity for analog circuits, weak physics coupling to link predictions, and lack of reproducible surrogate-to-SPICE fidelity checks.</w:t>
      </w:r>
    </w:p>
    <w:p>
      <w:r>
        <w:t xml:space="preserve"> </w:t>
      </w:r>
    </w:p>
    <w:p>
      <w:pPr>
        <w:pStyle w:val="Heading2"/>
      </w:pPr>
      <w:r>
        <w:t>Abstract</w:t>
      </w:r>
    </w:p>
    <w:p>
      <w:r>
        <w:t>We address port-level link prediction in analog circuit netlists: the task of recovering which device terminals and nets are electrically connected in transistor-level designs. We propose a combined pipeline that (1) applies subgraph-based graph neural networks to learn topological motifs around terminal pairs, (2) augments training with physics-aware surrogate losses computed from a sparse linearized nodal solver to encourage electrical plausibility, and (3) uses an LLM-powered netlist normalization tool to convert diverse netlist formats into a canonical representation for robust ingestion. Main contributions are (a) adapting SEAL-style subgraph learning to analog port prediction with device and parasitic features, (b) integrating a differentiable sparse-surrogate for KCL/KVL residuals and analytic adjoints for gradient flow, and (c) releasing a curated SpiceNetlist dataset and reproducible benchmarks. Expected outcome: statistically significant gains in link AUC and higher rates of predicted graphs that satisfy circuit acceptance tests (node-voltage RMSE, KCL residuals, gain sign and bandwidth), enabling more reliable downstream simulation and design automation.</w:t>
      </w:r>
    </w:p>
    <w:p>
      <w:r>
        <w:t xml:space="preserve"> </w:t>
      </w:r>
    </w:p>
    <w:p>
      <w:pPr>
        <w:pStyle w:val="Heading2"/>
      </w:pPr>
      <w:r>
        <w:t>Experiments</w:t>
      </w:r>
    </w:p>
    <w:p>
      <w:r>
        <w:t>Datasets: use the SpiceNetlist annotated corpus (775 circuits) as pilot and an expanded benchmark per-family target set (up to 1,000 circuits per family for 6 families) generated from PDK templates and controlled perturbations. Splits: per-family train/val/test with stratified sampling by node-count and motif types (example splits 70/15/15). Baselines: rail/port heuristics, Common Neighbors, Adamic-Adar, vanilla GNN (message-passing), SEAL-style GNN without physics loss, and SEAL-style GNN with physics loss disabled. Metrics: edgewise AUC, precision@k (k=10,50), Brier score for calibration, physically-valid rate (percentage of predicted graphs passing rule checks), node-voltage RMSE, per-node KCL residual distribution, gain-sign accuracy, gain-magnitude within ±6 dB, -3 dB bandwidth within factor 2, and failure-rate logs. Training setup: negative:positive sampling ratio 5–10:1 with 30% hard negatives from same module proximity; batch subgraphs from METIS partitions with radius-2 context; curriculum stages by graph size (≤100, 100–500, &gt;500 nodes). Surrogate setup: sparse G-matrix linearized nodal solver with implicit differentiation where available, finite-difference and REINFORCE fallbacks otherwise; report median and 95th percentile surrogate vs SPICE node-voltage RMSE and per-edge current RMSE. Statistical tests: paired bootstrap (n=1000) to test AUC deltas and physically-valid rate at α=0.05. Ablations: (A) remove physics loss, (B) remove subgraph input (whole-graph GNN), (C) replace LLM netlist conversion with direct parser, (D) vary negative-sampling hardness. Unit tests: analytic VJP vs finite-difference check, surrogate vs SPICE fidelity smoke test, repair-rollback demo on representative circuits.</w:t>
      </w:r>
    </w:p>
    <w:p>
      <w:r>
        <w:t xml:space="preserve"> </w:t>
      </w:r>
    </w:p>
    <w:p>
      <w:pPr>
        <w:pStyle w:val="Heading2"/>
      </w:pPr>
      <w:r>
        <w:t>Risk Factors And Limitations</w:t>
      </w:r>
    </w:p>
    <w:p>
      <w:r>
        <w:t>Technical failure modes: operating-point (OP) non-convergence, discontinuous device models, and large-signal transients can break linearized surrogates; surrogate-to-SPICE mismatch may produce incorrect gradients. Data and label risks: annotation noise, family imbalance, and limited publicly available analog netlists may bias models and limit generalization. Evaluation bias: metrics like AUC may not reflect circuit functional correctness; physically-valid rate depends on chosen thresholds. Scalability and compute: sparse factorization and adjoint solves can be memory- and time-intensive on large graphs; iterative solver fallbacks may fail for ill-conditioned matrices. LLM dependence: retrieval-augmented netlist conversion may hallucinate or mis-map rare syntax variants. Reproducibility risks: solver library differences, ordering/fill heuristics, and hardware variability can change timings and numeric stability. Generalization limits: models trained on specific PDKs, device flavors, or layout conventions may not transfer to unseen fabrication processes or highly novel topologies.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