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echo_vision_fm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High-ratio masked auto-encoding with spatial-temporal fusion for pre-training echocardiogram video foundation models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Pre-training a video encoder on large-scale unlabeled echocardiogram videos using high-ratio masked auto-encoding combined with a spatial-temporal fusion network (STF-Net) causes improved downstream performance (lower EF mean absolute error and higher valve severity AUC and RWMA sensitivity) compared to (a) training from scratch and (b) contrastive pre-training without STF-Net, when fine-tuned on limited labeled cardiac datasets.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Self-supervised video learning methods include contrastive objectives (which learn by pulling together different views of the same clip and pushing apart others) and masked auto-encoding (which reconstructs missing input regions). Masked modeling for images and videos (mask-and-reconstruct) has shown strong representation learning but has mostly targeted natural videos and often uses low mask ratios or ImageNet pretraining. Contrastive approaches capture instance-level invariances but can underrepresent fine-grained motion and texture priors important in ultrasound. Prior echocardiography ML work typically relies on supervised labels or intermediate segmentation, limiting scalability and cross-site generalization. Existing video models also struggle with ultrasound-specific artifacts (speckle, dropout, banding) and with domain shifts across vendors and devices. Limitations: heavy label dependence, limited artifact-robust pretraining, weak spatio-temporal fusion tuned for ultrasound motion, and insufficient evaluation of calibration, cross-site OOD behavior, and differential-privacy utility tradeoffs.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scalable learning of transferable representations for echocardiogram video analysis without manual labels. We propose a self-supervised framework that pre-trains a video encoder on large unlabeled echo clips using high-ratio masked auto-encoding (masking most spatio-temporal patches and reconstructing them) and then enhances learned features with a spatial-temporal fusion network (STF-Net) that explicitly models correlations across space and time. The method produces compact, motion-aware representations suitable for multiple downstream clinical tasks including left-ventricular ejection fraction (EF) regression, valve-severity classification, and regional wall-motion abnormality (RWMA) detection. Main contributions: (1) a high-ratio masked pre-training recipe tailored to ultrasound texture and motion, (2) STF-Net module to fuse local spatial texture and temporal dynamics, and (3) a reproducible evaluation plan measuring clinical metrics, calibration, artifact robustness, and cross-vendor generalization. Expected outcome: improved task accuracy and calibration with substantial label efficiency, enabling end-to-end cardiac video models that generalize across institutions and reduce annotation needs.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unlabeled corpus: ~100k echocardiogram clips sampled from multi-center sources (diverse vendors/devices). Labeled fine-tune sets: EF regression N=2,000 studies (interim N=1,000), valve severity classification N=5,000 enriched for pathology, RWMA N=1,500–3,000 with &gt;=300 events. External holdouts: three vendor/site holdouts (one major cart vendor, one handheld vendor, one geographically distinct center) with 500–1,000 studies each. Baselines: (A) random initialization (train from scratch), (B) contrastive video pre-training (phase-aware InfoNCE), (C) standard masked auto-encoder with low mask ratio, (D) supervised pre-training on labeled echo subset. Metrics: EF MAE (mean absolute error), ICC (intraclass correlation), valve AUC (area under ROC) for detecting severe disease, RWMA sensitivity and specificity, calibration metrics: ECE (10-bin), adaptive/binless kernel ECE, class-wise calibration, and empirical coverage of conformal intervals. Artifact realism: FID computed on frozen echo-specific encoder embeddings (self-supervised echo encoder) and clinician Turing-test pass rate. OOD detection: AUROC for Mahalanobis distance, energy score, predictive entropy, and reconstruction error. Experimental setup: pre-train on 2–3s clips at &gt;=25 fps, effective batch-size 128 (via accumulation), 10 epochs over ~100k videos, mask ratio sweep {30%,50%,70%}. Fine-tune heads for regression/classification with heteroscedastic loss for regression (learned aleatoric variance) and generalized cross-entropy for noisy classes. Ablations: (1) with vs without STF-Net; (2) mask ratio ablation; (3) artifact augmentation vs none; (4) contrastive+MAE hybrid vs MAE only; (5) DP-SGD pretraining variants with per-round noise scale and clipping norms to report utility-privacy curves. Statistical tests: bootstrap 95% CIs, paired bootstrap comparisons between methods, and pre-specified stopping rules at interim analyses. Reproducibility: fixed seeds, versioned dataset splits, and release of one baseline checkpoint and training configs where permitted.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masked reconstruction may learn trivial low-frequency priors instead of clinically relevant texture/motion; STF-Net may overfit to device-specific artifacts. Data biases: training corpora may underrepresent demographics, rare pathologies, or device types, limiting subgroup validity. Label noise: expert disagreement can inflate variance in fine-tune targets and reduce measurable gains. Scalability and compute: pre-training requires substantial GPU-hours and memory, which may limit repeated runs and hyperparameter sweeps. Differential privacy limits: DP-SGD may significantly reduce utility at conservative privacy budgets; detailed privacy accounting is required. OOD detection limits: detectors (Mahalanobis, energy, entropy) can miss subtle covariate shifts and produce false alarms. Artifact realism metrics: embedding-based FID depends on encoder choice and may not reflect clinical acceptability; clinician Turing tests are subjective and costly. Regulatory and privacy constraints: sharing of de-identified datasets and checkpoints may be restricted by IRB/DUA, limiting external reproducibility. Generalization: improvements on internal and held-out vendors may not extend to all clinical settings, especially low-resource devices or extreme image-quality cases.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