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xai_brain_tumor_evaluation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Evaluation of sequence-aware explainable AI methods for brain tumor detection and subcompartment segmentation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Selecting models using a composite Explanation Fidelity Score (EFS) derived from sequence-aware attribution maps yields higher lesion-localization Dice and improved calibration on external multi-center test sets than selecting models by accuracy alone.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applies deep convolutional networks (3D U-Net, nnU-Net) and transfer learning for brain tumor segmentation and classification, and adapts common attribution methods (Grad-CAM variants, occlusion, integrated gradients) from general vision to medical images. Existing studies focus mainly on accuracy and internal validation, seldom evaluate sequence-level attributions, and rarely report multi-center external generalization, calibration, or annotation provenance. Human factors and formal reader studies are limited, and few works quantify attribution fidelity with lesion masks or use concept-sensitivity (TCAV) tied to pathology. Privacy/accounting for differential privacy, harmonization effects on explanations, and reproducible containerized preprocessing with pinned tool versions are often missing. These gaps limit clinical trust, auditability, and regulatory readiness.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need for clinically audit-able explainable AI (XAI) in brain tumor imaging by evaluating sequence-aware attribution methods and a reproducible composite Explanation Fidelity Score (EFS) for model selection. The approach integrates per-sequence attribution maps, deletion/insertion fidelity tests, top-k lesion overlap, and region-level stability into a single EFS used to rank segmentation and classification models. We benchmark models on canonical multi-sequence, multi-center datasets and on histopathology-linked cohorts, measure external generalization, calibration, and test–retest attribution reproducibility, and run ablations on harmonization and attribution methods. Main contributions are: (1) a formal EFS definition for auditable model selection, (2) an evaluation suite comparing attribution methods in 3D medical volumes, and (3) containerized, BIDS-compatible pipelines and DP accounting examples to support reproducibility and privacy. Expected outcome: empirically grounded criteria showing whether EFS-guided selection improves localization fidelity and calibration versus accuracy-based selection, informing clinically defensible XAI adoption.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BraTS (multi-sequence multi-center segmentation); CPTAC-GBM and IvyGAP (histology-linked cohorts); selected TCIA metastasis cohorts. Baselines: nnU-Net / 3D U-Net (segmentation); 3D ResNet and EfficientNet3D (case-level classification). Attribution methods: 3D Grad-CAM variant (saliency for 3D CNNs), Integrated Gradients (IG), occlusion sensitivity (sliding-cube perturbation), and TCAV-style concept sensitivity (concepts: enhancing rim, restricted diffusion, high rCBV). Metrics: Dice per subcompartment (overlap score; Dice = 2*|A∩B|/(|A|+|B|)), IoU (intersection over union), Brier score (probability calibration), calibration slope, deletion/insertion AUC (fidelity), top-k overlap Dice for k=5,10,20%, region-level ICC (stability), EFS (0–1 composite), reader-study metrics (diagnostic accuracy, confidence, NASA-TLX, SUS). Experimental setup: containerized preprocessing (N4, ANTs co-registration, skull-strip) and training (AdamW, Dice+CE loss, augmentations, cosine scheduler); cross-site splits with held-out OOD strata; external multi-center test sets; test–retest subset (n=15–30 per scanner model). Comparisons/ablations: (A) harmonization methods: none vs ComBat vs scanner-aware normalization vs CycleGAN-style harmonization, measured on prediction metrics and EFS; (B) attribution ablation: compare IG/Grad-CAM/occlusion/TCAV for EFS and top-k overlap; (C) EFS sensitivity: vary weights (0.4/0.4/0.2 baseline vs alternatives) and top-k thresholds to assess ranking stability; (D) privacy utility: federated training with DP noise ε∈{2,4,8} and per-round accounting, report utility loss curves (Dice vs ε). Report all results stratified by site and scanner vendor.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heterogeneity: variable sequences, vendors, and field strengths may limit generalization and attribution validity. Limited histopath-linked data: reduces power for biomarker analyses. Attribution instability: methods may produce different maps and be sensitive to preprocessing or noise. Composite score sensitivity: EFS ranking depends on chosen weights and top-k rules. Privacy trade-offs: differential privacy (smaller ε) may reduce utility; ε≈8 may still expose subtle risks. Synthetic sequence risks: generated images can introduce artifacts or spuriously improve scores. Reader studies: variability in clinician interpretation and sample-size constraints may limit detection of small effects. Compute and reproducibility: 3D models, harmonization GANs, and DP/federated training require high compute and careful CI to reproduce. Regulatory and clinical deployment: explanation outputs may not satisfy SaMD requirements without prospective validation.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