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hybrid_multimode_multiwavelength_processor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Monolithically integrated hybrid mode- and wavelength-division photonic processor for analog optical MIMO and RF signal processing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 single-chip hybrid photonic processor that integrates adiabatic mode multiplexers, mode-selective microring resonators, and balanced multimode photodetectors on 220 nm SOI with flip-chip bonding will provide aggregate capacity &gt;= 400 Gb/s at per-channel BER &lt;= 1e-3, end-to-end one-way latency &lt;= 1 µs, total on-chip power &lt;= 10 W, and manufacturing yield &gt;= 90% under the specified component tolerances when designed and validated with a copula-based Monte Carlo N=10,000 (seed=42).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work demonstrates wavelength-division multiplexing (WDM) photonic integrated circuits (PICs) and separate demonstrations of mode-division multiplexing (MDM) in few-mode waveguides, and uses electronic digital signal processing (DSP) to recover MIMO channels. Limitations: WDM-only PICs do not scale footprint or per-tile capacity efficiently; separate MDM stages add packaging and alignment overhead and increase mode-conversion loss and crosstalk; many prototypes rely on heavy electronic DSP, increasing latency and power; AWG insertion loss, microring thermal drift, and photodetector (PD) responsivity variability are recurring performance bottlenecks; prior uncertainty analyses typically assume independent component variations and do not capture joint behavior (correlations) that drive worst-case yield; thermal co-simulations and reproducible Monte Carlo pipelines are often missing. These gaps limit scalability, reproducible capacity estimates, and manufacturing readiness for hybrid multimode–multiwavelength systems.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scalable on-chip analog optical processing for high-throughput MIMO and RF tasks by designing a fully integrated hybrid photonic processor that combines mode-division multiplexing (MDM) and wavelength-division multiplexing (WDM) on a single silicon-on-insulator (SOI) die. The approach integrates adiabatic mode multiplexers (slow, low-loss transitions that move light between single- and few-mode waveguides), mode-selective microring resonators (rings that drop or add specific mode–wavelength channels), and balanced multimode photodetectors (pairwise detectors that reduce common-mode noise) with flip-chip bonded III–V where needed. We use a copula-based Monte Carlo uncertainty model to capture correlated fabrication variations and to propagate component tolerances into per-channel SNR, BER, and aggregate capacity. Contributions: (1) a reproducible design and simulation pipeline that couples electro‑optical, thermal, and DSP budgets; (2) quantified acceptance targets for capacity, BER, latency, power, and yield; (3) an experimental validation plan including transient thermal and FPGA latency mapping. Expected outcome: a validated single-chip architecture capable of multi-hundred-Gb/s aggregate throughput with documented reproducibility and manufacturing readiness.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(1) Fabricated test chips: 3 wafers, 10 tiles per wafer, each tile with 4 modes × 8 wavelengths (total N_tiles=90). (2) Coupon measurements: waveguide/wg-cutback, mode-converter, AWG spectra, SSC coupling, PD responsivity with mode/polarization resolved measurements. (3) Synthetic reproducible dataset matching wafer statistics for public release (seed=42). Baselines: A) single-mode WDM PIC with identical AWG design, B) MDM stage + discrete WDM (non-monolithic), C) DSP-only electronic MIMO (optical front-end single-mode). Evaluation metrics: per-channel BER (targets: 1e-3, 1e-6), per-channel SNR (dB), aggregate capacity (Gb/s), yield (%) at BER target, end-to-end one-way latency (ns/µs), on-chip power (W), and thermal resonance drift (pm over 1 hour at 25–85 °C). Testbed and setup: SOI thickness locked to 220 nm, AWG channel count = 8, bonding = flip-chip. Optical testbed: tunable lasers 1310–1550 nm, polarization scrambler, mode-selective launch (mode multiplexer or spatial light modulator), single-/few-mode SSCs, high-speed oscilloscope (&gt;=70 GHz) and ADC/DAC evaluation boards (64–100 GSa/s, 8–10 bits). Electrical: FPGA prototype UltraScale+ VU9P for real-time MIMO equalization, TIAs 25–50 GHz, JESD204B/C links. Thermal: 3D transient FEM (0–100 ms) and thermal chamber (-40→+85 °C) with spectral tracking. Monte Carlo: copula-based sampling N=10,000 (seed=42); validate copula choice via AIC/BIC, log-likelihood, PIT histograms, KS tests, tail-dependence statistics; protocol: 70/30 train/test split, 1,000 bootstrap samples, out-of-sample prediction evaluation with thresholds (KS p-value&gt;0.05, PIT uniformity within 95% CI). Ablations and comparisons: (i) disable MDM (WDM-only) to measure capacity and footprint tradeoff; (ii) increase AWG insertion loss by +0.5 and +1.0 dB to measure SNR sensitivity; (iii) reduce PD responsivity by 0.05 A/W to measure BER impact; (iv) compare copula families (Gaussian vs t vs vine) by measuring sensitivity of median/5th/95th percentile capacity and yield. Deliverables per experiment: raw measurement files, seeded notebooks, Docker image tag, and parameter file linking all runs.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 higher-than-expected mode-conversion loss or AWG insertion loss that reduces SNR below BER target; PD responsivity lower than spec causing shot-noise-limited performance; flip-chip misalignment beyond ±200 nm causing &gt;1 dB excess loss. Thermal risks: package Rth higher than budget, causing microring resonance drift &gt;100 pm over operational time. Modeling risks: copula family mis-specification or wafer-lot nonstationarity causing underestimated tail risks and yield overestimation. Measurement and data risks: limited wafer/coupon sample sizes producing biased marginal or correlation estimates; proprietary data unavailable requires reliance on synthetic datasets. Scalability and compute limits: FPGA prototype may not meet real-time constraints for full M×N configurations (compute and memory limits); full-rate ASIC development required for lowest latency. Generalization limits: results tied to locked constants (220 nm SOI, AWG=8, flip-chip); performance may not generalize to other platforms, larger mode counts, or different bonding methods.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