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gnn_skeleton_biomech_equivariance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Graph neural networks with equivariance and biomechanics losses for improving human skeleton pose estimation and motion prediction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Adding SE(3)-equivariant graph layers and explicit biomechanics losses (joint-angle soft penalties and bone-length consistency) to spatio-temporal GNNs causes a ≥5% relative reduction in cross-subject MPJPE and a ≥30% relative reduction in joint-limit violations compared to matched non-equivariant baselines under the same compute budget.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use spatio-temporal graph neural networks (GNNs) and temporal convolution/attention to model skeletons; transformer-hybrid models add attention for long-range time dependencies; SE(3)/SO(3)-equivariant GNNs impose geometric symmetry so outputs transform predictably under 3D rotations and translations. Prior methods often omit or only weakly enforce biomechanical constraints (joint-angle limits, bone-length invariants), report inconsistent preprocessing and split protocols, and lack unified DP/federated accounting. Robustness and privacy work has explored noisy inputs, occlusions, and differential privacy (DP-SGD) independently, but few studies combine equivariance, biomechanics, privacy, and standardized benchmarking. Limitations: inconsistent skeleton formats and metrics across papers, missing cross-dataset transfer evaluations, unclear compute/latency reporting, limited statistical power analyses, and few reproducible synthetic-data privacy evaluations.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reproducible evaluation and practical gains of geometry-aware graph networks for human skeleton modeling by combining SE(3)-equivariant graph layers with explicit biomechanics losses. Our high-level approach augments spatio-temporal GNN backbones with (1) SE(3)-equivariant message passing to respect 3D rotation and translation symmetry, (2) soft joint-angle and bone-length penalties to promote biomechanical plausibility, and (3) a standardized experimental suite including cross-dataset transfer, occlusion robustness, privacy-utility curves, and synthetic-data assessments. The main contribution is a single, auditable protocol and a set of minimally invasive model modifications that can be measured on canonical datasets (Human3.6M, AMASS, MPI-INF-3DHP). We expect geometry + biomechanics to improve cross-subject generalization (lower MPJPE), reduce joint-limit violations, and produce clearer trade-offs in compute versus accuracy for equivariant designs. The output is an actionable benchmark, ablation studies, and reproducible scripts for privacy and synthetic-data evaluation to guide future work in skeleton-based GNNs.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Human3.6M (cross-subject splits), AMASS (diverse motions, biomechanics), MPI-INF-3DHP (in-the-wild, cross-dataset transfer). Preprocessing: canonical joint ordering, pelvis-rooted right-handed frame, resample to 50 Hz, fixed splits with seeds. Baselines: ST-GCN (spatio-temporal GNN), MS-G3D (strong multi-scale GNN), transformer-hybrid (GCN + temporal attention). Geometry model: SE(3)-equivariant GNN variant matched to baseline parameter counts within ±5%. MVEs: (1) Cross-subject transfer: train on Human3.6M, test on MPI-INF-3DHP; compare ST-GCN vs SE(3)-equivariant; metric MPJPE (mm); acceptance: ≥5% MPJPE reduction. (2) Biomechanics loss impact: AMASS 1s motion prediction using MS-G3D with/without biomechanics losses (L_angle soft hinge, L_bone MSE); metrics MPJPE and joint-limit-violation rate (percent frames); acceptance: violations ↓≥50% with MPJPE change ≤2%. (3) Occlusion robustness: Human3.6M with 30% joint dropout (anatomical masks), compare ST-GCN vs transformer-hybrid; metric corrupted MPJPE; acceptance: transformer within 10% of clean MPJPE. Evaluation metrics: MPJPE, P-MPJPE, PCK (percentage of correct keypoints at thresholds), mean per-joint-angle error (deg), joint-limit-violation rate (percent frames), velocity and acceleration RMSE, biomechanical energy proxy (per-frame kinetic-energy-like sum), FLOPs/frame, fp16 latency (batch=1, seq_len=50), peak GPU memory, negative log-likelihood and ECE for uncertainty. Statistical protocol: pilot per dataset on 50–100 sequences with 3 seeds to estimate variance; main runs use 5-fold cross-subject splits, 10 seeds per configuration (minimum 5), report mean ±95% CI, per-seed logs, paired tests (two-sided paired t-test if normal residuals, else Wilcoxon signed-rank) at α=0.05 with Holm correction. Hyperparameter ranges: lr ∈ [1e-4,1e-2], weight decay ∈ [1e-6,1e-3], batch ∈ [16,64], early stop patience=10 epochs. Ablations: (A) equivariant vs non-equivariant (compute-matched and parameter-matched), (B) with/without biomechanics losses, (C) architecture depth/width, (D) temporal span and attention. Privacy experiments: DP-SGD with Rényi DP accountant using Poisson subsampling; sweep noise multiplier ∈ {0.5,1.0,1.5,2.0}, clip ∈ {0.5,1.0}, compute ε per-training-run for δ=1e-5; plot MPJPE vs ε. Synthetic-data baselines: conditional VAE, conditional GAN, and diffusion model trained on AMASS; training recipe: batch=64, lr=1e-3 (Adam), early stop on val; convergence when FPD stabilizes for 5 checkpoints. Fréchet Pose Distance (FPD) pipeline: pre-train a 3-layer temporal convolutional encoder on Human3.6M; use penultimate-layer activations (dim=128) as embeddings; compute mean/covariance and FPD between real and synthetic embeddings. Membership-inference protocol: train 5 shadow models (same arch as target) on disjoint subsets (50% of training data) and an attack MLP (2-layer, 128 units) using shadow in/out losses; report AUC. Compute benchmarking: reference hardware NVIDIA Tesla V100 16GB, Intel Xeon 8-core CPU; measure FLOPs via ptflops or fvcore, measure latency using fp16 with torch.cuda.synchronize, warmup 200 runs then median of 1000 runs (batch=1, seq_len=50), report peak memory via nvidia-smi. Reproducibility: set seeds with torch.manual_seed, np.random.seed, python random; record cudnn deterministic True and note possible cuDNN nondeterminism; containerize experiments (Docker), provide per-seed JSONL logs and checkpoint manifests. Deliverables: scripts for pilots, ablation templates, DP accountant, synthetic training and FPD, and MVE result tables.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SE(3)-equivariant layers may incur 2–5× runtime overhead and 1.5–3× memory increase; gains may vanish if compute is not matched. Biomechanics losses can destabilize training (oscillating augmented-Lagrangian multipliers) or bias predictions toward conservative motions. Data and evaluation biases: canonical datasets under-represent some demographics and activities, causing subgroup performance gaps and reduced generalization. Privacy trade-offs: DP-SGD noise reduces utility; epsilon targets (ε≤8) may still leak when models are large or when attacker side-information exists. Synthetic-data limits: generative models may not capture fine-grained kinematics (velocity/acceleration) and can exhibit mode collapse, reducing downstream utility. Compute and scalability: thorough ablations and multi-seed runs require substantial GPU time; single-site results may not transfer across hardware. Measurement reproducibility: cuDNN and low-level library nondeterminism can make exact replication difficult. Generalization: improvements measured on Human3.6M/AMASS/MPI-INF-3DHP may not transfer to very different capture settings (wearable IMUs, multi-person crowded scenes) or clinical populations with atypical biomechanics.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