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dao_heuristics_benchmark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Systematic benchmarking of heuristic algorithms for direct aperture optimisation in intensity-modulated radiation therapy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Heuristic DAO algorithms that enforce clinically realistic delivery constraints and explicit robustness perturbations will produce treatment plans whose PTV D95 remains within 1.5% absolute of fluence-based reference plans while reducing modulation complexity score (MCS) by at least 10% across representative prostate, head-and-neck, and lung SBRT cases.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direct aperture optimisation (DAO) fall into several families: greedy and constructive heuristics, local search and continuous refinement, metaheuristics such as simulated annealing (SA) and tabu search (TS), population methods like genetic algorithms (GA), column generation methods, mixed-integer programming (MIP) formulations, and machine-learning or reinforcement-learning (ML/RL) hybrids. Prior work shows that heuristic methods can reduce objective cost or deliverable MU, but studies differ widely in problem encoding, sequencing practice, and machine constraints. Common limitations include: omission or simplification of realistic machine delivery constraints (leaf gap, leaf speed, tongue-and-groove, transmission), lack of post-sequencing dose recomputation in a clinical TPS, inconsistent or absent robustness testing (setup and density perturbations), small or single-site case sets, nonstandard or missing aperture export formats, and poor reproducibility (no code/containers or deterministic seeds). These gaps prevent fair cross-study comparison and hinder clinical translation.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Direct aperture optimisation (DAO) seeks to produce deliverable multileaf collimator (MLC) aperture sets directly in intensity-modulated radiation therapy (IMRT). We synthesize evidence from two decades of DAO heuristics and present a reproducible benchmarking protocol to evaluate heuristic methods under clinically realistic constraints. The proposed approach standardizes a benchmark corpus (20 cases each for prostate, head-and-neck, lung SBRT, plus one end-to-end phantom), primary endpoints (paired PTV D95 difference and post-sequencing gamma pass-rate), secondary deliverability and complexity metrics (MU, number of apertures, modulation complexity score), robustness perturbations (systematic and randomized setup shifts, density scaling), and vendor-neutral aperture export specifications. We require containerized implementations with deterministic seeds and a reference fluence plan produced by a clinical TPS for fair comparison. Main contributions are a parameterized power and sensitivity spreadsheet, a JSON schema for aperture exports, a Docker smoke-test prototype, and a prespecified statistical analysis plan. Expected outcome is a reproducible, machine-actionable benchmark that enables fair comparison of DAO heuristics and accelerates clinically relevant algorithm development.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61 items total: 20 prostate cases, 20 head-and-neck cases, 20 lung SBRT cases, and 1 anthropomorphic end-to-end phantom. Provide anonymized DICOM-RT CT, RT StructureSet, RT Dose (reference fluence), and RT Plan where available. Baselines: (1) clinically accepted fluence-based IMRT reference (7–9 fields) with TPS sequencing and post-sequencing dose recomputation; (2) VMAT reference where applicable; (3) simple greedy heuristic. Methods to evaluate: greedy, local search, SA/TS, GA, column generation, MIP, ML/RL hybrids. Metrics: primary—paired difference in PTV D95 (percent of prescription) and post-sequencing gamma pass-rate (3%/2 mm); secondary—PTV D98/D2, OAR DVH points (mean, Vx), MU, number of apertures, MCS (modulation complexity score), estimated delivery time, reconstructed delivered-dose gamma. Robustness tests: systematic shifts ±3 mm and ±5 mm in L/R, A/P, S/I; 100 randomized shifts sampled from N(0,3 mm); density scaling ±3% and ±5% globally and lung-targeted ±5%; run 50 perturbation realizations per case (100 for ML methods). Statistical analysis: paired t-test for D95 (alpha 0.05), GEE or mixed-effects logistic regression for clustered paired gamma outcomes (specify exchangeable correlation), cluster design-effect DE = 1 + (m-1)*ICC for sample-size correction, and REML random-effects meta-analysis across algorithm classes. Reproducibility and inputs: require Docker/Singularity container, deterministic RNG seed, DICOM-RT Plan with MLC per-control-point positions (IEC coordinates) and vendor-neutral JSON/CSV aperture exports. Ablations: (A) heuristics with vs without delivery constraints (leaf gap, leaf speed, interdigitation); (B) heuristics with vs without robustness-aware cost terms; (C) sequencing before vs after TPS dose recomputation.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generated apertures may be non-deliverable if algorithms assume unrealistic leaf gaps, infinite leaf speed, or ignore tongue-and-groove and transmission. Post-sequencing dose degradation: sequencing and TPS dose recalculation can substantially change coverage. QA uncertainty: measurement device uncertainty and calibration differences can confound gamma comparisons. Data and evaluation bias: limited anatomical diversity or small case counts reduce generalizability. Heterogeneous reporting: missing or inconsistent reporting in prior studies may prevent pooling. Compute and scalability: ML/RL methods may require GPU resources and long training times. Reproducibility risks: nondeterministic behavior from GPUs/BLAS or unpinned software versions. Ethical and governance constraints: multi-site data sharing may face IRB, DUA, or encryption requirements that limit dataset availability. Metric limits: single metrics (e.g., D95 or gamma) do not fully capture clinical trade-offs like TCP/NTCP or workflow time.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