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linear_hgse2_optical_anisotropy</w:t>
      </w:r>
    </w:p>
    <w:p>
      <w:r>
        <w:t xml:space="preserve"> </w:t>
      </w:r>
    </w:p>
    <w:p>
      <w:pPr>
        <w:pStyle w:val="Heading2"/>
      </w:pPr>
      <w:r>
        <w:t>Title</w:t>
      </w:r>
    </w:p>
    <w:p>
      <w:r>
        <w:t>Design and characterization of aligned linear [HgSe]2 cluster assemblies to achieve large optical anisotropy and broad mid-to-far-infrared transparency</w:t>
      </w:r>
    </w:p>
    <w:p>
      <w:r>
        <w:t xml:space="preserve"> </w:t>
      </w:r>
    </w:p>
    <w:p>
      <w:pPr>
        <w:pStyle w:val="Heading2"/>
      </w:pPr>
      <w:r>
        <w:t>Short Hypothesis</w:t>
      </w:r>
    </w:p>
    <w:p>
      <w:r>
        <w:t>Embedding well-aligned linear [HgSe]2 multinuclear clusters stabilized by bulky ligands into films causes an increase in mid-IR birefringence (Δn) and a concurrent broad spectral window where the extinction coefficient k(ω) &lt; 0.01, compared to unaligned or non-linear HgSe assemblies.</w:t>
      </w:r>
    </w:p>
    <w:p>
      <w:r>
        <w:t xml:space="preserve"> </w:t>
      </w:r>
    </w:p>
    <w:p>
      <w:pPr>
        <w:pStyle w:val="Heading2"/>
      </w:pPr>
      <w:r>
        <w:t>Related Work</w:t>
      </w:r>
    </w:p>
    <w:p>
      <w:r>
        <w:t>Previous approaches used bulk chalcogenides, nanoparticles, or random-cluster films to improve infrared transparency or anisotropy separately. Bulk HgSe and related binary chalcogenides provide good mid-IR transparency but limited engineered birefringence. Nanoparticle composites and oriented oxide crystals can produce anisotropy yet suffer from mid-IR absorption from ligands or grain-boundary scattering. Work on multinuclear heavy-metal clusters shows strong local polarizability anisotropy but often lacks methods to align clusters macroscopically or to quantify low-frequency vibrational losses. Limitations include: (1) insufficient control of cluster linearity and orientation in films, (2) ligand vibrations overlapping the target mid-IR window, (3) inadequate structure-to-optics upscaling from cluster to film, (4) incomplete treatment of relativistic effects (spin–orbit coupling) in phonon and optical predictions. These gaps leave unresolved whether linear clusters can produce both large birefringence and broad IR transparency simultaneously.</w:t>
      </w:r>
    </w:p>
    <w:p>
      <w:r>
        <w:t xml:space="preserve"> </w:t>
      </w:r>
    </w:p>
    <w:p>
      <w:pPr>
        <w:pStyle w:val="Heading2"/>
      </w:pPr>
      <w:r>
        <w:t>Abstract</w:t>
      </w:r>
    </w:p>
    <w:p>
      <w:r>
        <w:t>We propose to create oriented films and single-crystal assemblies that incorporate linear [HgSe]2 multinuclear clusters stabilized by bulky ligands, and to test whether such alignment yields both strong optical anisotropy (birefringence) and wide mid-to-far-infrared transparency. The approach combines targeted synthesis of ligand-stabilized linear dimers, structural resolution by single-crystal XRD or microED and PDF, high-resolution microscopy for orientation mapping, polarization-resolved spectroscopies (ellipsometry, FTIR, THz-TDS), and relativistic electronic-structure calculations including spin–orbit coupling and phonons. Main contribution: an integrated, reproducible pipeline that links precise cluster geometry and orientation distributions to measured dielectric tensors and transparency windows. Expected outcome: identification of ligand–cluster combinations and processing conditions that produce Δn(λ) ≥ 0.05 in the mid-IR with a continuous spectral window where k(ω)&lt;0.01, validated to structural precision ±0.02 Å. Impact: a verified materials design route where discrete heavy-metal linear clusters act as building units for anisotropic, broadband infrared photonic materials.</w:t>
      </w:r>
    </w:p>
    <w:p>
      <w:r>
        <w:t xml:space="preserve"> </w:t>
      </w:r>
    </w:p>
    <w:p>
      <w:pPr>
        <w:pStyle w:val="Heading2"/>
      </w:pPr>
      <w:r>
        <w:t>Experiments</w:t>
      </w:r>
    </w:p>
    <w:p>
      <w:r>
        <w:t>Datasets: produce sample sets S1–S5 using Recipes A–C with ligands PCy3, P(t-Bu)3, tBuXPhos, IPr, IMes. For each ligand, synthesize n=5 independent batches (target mass 200–500 mg) and prepare: (a) oriented thin films (50–300 nm) on CaF2 and ZnSe, (b) freestanding films/pellets (50–300 µm) for transmission, (c) microcrystals for microED and crystals &gt;50 µm for single-crystal XRD when obtainable. Controls: (C1) unaligned films of same chemistry, (C2) bulk HgSe, (C3) CdSe and PbSe analogues. Baselines: random-cluster HgSe films and bulk HgSe dielectric tensors. Characterization methods: variable-angle spectroscopic ellipsometry (VASE) at 45°, 60°, 75°; Mueller-matrix when anisotropic; polarized FTIR (4000–400 cm⁻¹) with wire-grid polarizers; THz-TDS (0.1–10 THz); single-crystal XRD or microED; PDF (synchrotron/lab); EXAFS/XANES; TEM/STEM-EDX/EELS; AFM for thickness and RMS roughness. Computational setup: DFT+SOC geometry optimizations with VASP (PAW) or FHI-aims (all-electron) using PBE0/HSE06, plane-wave cutoff ≥520 eV, k-point density ≈0.02 Å⁻¹ for periodic models; DFPT phonons when available, otherwise finite-displacement phonons plus SOC. Optical theory: TDDFT+SOC screening; production GW0/BSE (Yambo or BerkeleyGW interfaced to VASP) for top 3 candidates. MD sampling: at least 5 independent 100 ps explicit-solvent MD runs per ligand and select ≥8 QM/MM snapshots for DFPT. Ablations: (A1) omit SOC in calculations; (A2) finite-displacement vs DFPT phonons; (A3) vary ligand %Vbur and compare bulky vs less bulky; (A4) aligned vs random orientation (orientation distribution varied systematically). Evaluation metrics: Δn(λ) (birefringence) reported with uncertainty ±0.01; target Δn≥0.05 (mid-IR) and ≥0.15 by month-6 for best candidates; dichroic ratio (E||/E⊥) target ≥2; continuous spectral window width where k(ω)&lt;0.01 in cm⁻¹ with uncertainty ±50 cm⁻¹; film transmission % in window. Structural metrics: Hg–Se bond length precision ±0.02 Å. Statistical plan: n≥5 syntheses, ≥5 independent optical measurements per sample, report mean ±95% CI; power analysis indicates n=4–5 needed to detect Δn≥0.05 with 80% power and α=0.05. Data and models will be versioned in a central repository with raw files and analysis scripts for reproducibility.</w:t>
      </w:r>
    </w:p>
    <w:p>
      <w:r>
        <w:t xml:space="preserve"> </w:t>
      </w:r>
    </w:p>
    <w:p>
      <w:pPr>
        <w:pStyle w:val="Heading2"/>
      </w:pPr>
      <w:r>
        <w:t>Risk Factors And Limitations</w:t>
      </w:r>
    </w:p>
    <w:p>
      <w:r>
        <w:t>Toxicity and regulation: mercury handling limits sample throughput and requires strict waste manifests and licensed disposal that can delay experiments. Sample stability: ligand exchange, oxidation, or humidity may degrade clusters and narrow transparency windows. Ligand vibrational overlap: bulky ligands can still produce mid-IR bands that raise k(ω) above 0.01 in key ranges. Alignment scalability: achieving macroscopic alignment of discrete clusters in defect-free films may be limited by aggregation, domain size, or polymer-matrix compatibility. Scattering and morphology: surface roughness or particulate inclusions increase apparent k(ω) via scattering and complicate Mie corrections. Structural resolution: inability to obtain suitable single crystals forces reliance on microED or PDF which have interpretation limits. Computational limits: GW/BSE with SOC and converged phonons is computationally expensive and may be infeasible for large ligand-decorated clusters; codes may not support full DFPT+SOC and finite-displacement approximations introduce errors. Generalization: results for Hg-based clusters may not directly transfer to other chemistries due to strong relativistic effects unique to Hg.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