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subspace_bayesian_oversample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Subspace-optimized Bayesian reinforcement oversampling for imbalanced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Selecting explainable feature subspaces via a Bayesian reinforcement controller and generating synthetic minority samples by nonlinear optimization within those subspaces improves test-set F2 score by at least 0.05 absolute versus SMOTE and class-weighted training on the same datasets.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oversampling methods include simple interpolative algorithms (SMOTE and its variants), density-aware variants (ADASYN), and generative-model approaches (VAE/GAN/flow-based oversamplers). Boundary-aware methods attempt to focus synthesis near class boundaries, and some recent work uses subspace or manifold assumptions to guide generation. Bayesian/GP surrogates and RL controllers have been explored for expensive black-box optimization and sample-efficient policy search. Limitations: (1) many methods lack explicit, explainable feature-subspace selection and so cannot attribute where synthetic samples are created; (2) generative methods can introduce bias or overlap with majority support, harming downstream classifiers; (3) boundary-aware heuristics often lack statistical guarantees and can be sample-inefficient; (4) scalable uncertainty-aware subspace inference is rarely combined with synthesis; (5) reproducibility and formal risk bounds linking manifold estimation error to downstream error are often missing.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supervised learning under class imbalance by creating synthetic minority examples via nonlinear optimization inside interpretable feature subspaces that are chosen by a Bayesian reinforcement controller. The controller treats subspace proposals as actions and uses a compact GP surrogate with Dirichlet-smoothed density signals (Dirichlet smoothing: a way to stabilize sparse class-density estimates) to select subspaces that balance fidelity, diversity, boundary proximity, and overlap with the majority. Within a chosen subspace (a low-dimensional linear projection), a conditional generator is optimized with a class-sensitive objective to produce synthetic minority samples. We provide a modular pipeline that (i) produces explainable subspace choices, (ii) enforces a hard overlap rejection rule with statistical control, and (iii) supplies uncertainty-aware posterior samples for stability. Main contributions: an actionable algorithmic design combining subspace inference, Bayesian RL selection, and nonlinear generator optimization; concrete numeric defaults and diagnostics for identifiability; and formal excess-risk statements that separate manifold approximation, estimator variance, generator bias, and overlap penalties. Expected outcome: improved minority-class performance with traceable, explainable synthesis.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toy manifold: ground-truth minority on d=2 sinusoidal manifold embedded in D=20 with controlled noise and overlap; (2) Public tabular benchmarks with class imbalance (examples: fraud-like, churn-like) with varied imbalance ratios; (3) Image subset: CIFAR-derived multiclass subsets with a controlled minority class. Baselines: SMOTE, Borderline-SMOTE, ADASYN, class-weighted training, conditional VAE generator, conditional flow, GAN-based oversampler, and a subspace-agnostic cVAE. Metrics: primary = AUC-PR and F2 (Fβ with β=2); secondary = MCC, Brier score (calibration), subgroup FNR/FPR, precision@k, and runtime. Subspace / surrogate diagnostics: overlap_prop (fraction of generated points with majority-density &gt; τ), coverage (fraction of minority manifold estimated support covered by synthetic samples), principal-angle stability between posterior Ws, and generator TV proxy (held-out likelihood gap). Setup: fixed train/validation/test splits with test N_test ≥ 2000 when available; seeds = 5; bootstrap resamples = 1000 for CIs; statistical test = paired Wilcoxon with Holm-Bonferroni correction. Controller and inference defaults: discrete grid K≈20 then continuous W; GP surrogate with Matérn-3/2 ARD kernel; GP retrain cadence every 3 actions or after 10 new points; Dirichlet smoothing for density estimates; overlap rejection τ = empirical 95th percentile on n0≥500 majority validation samples with DKW correction (δ=0.01). Ablations: (A1) remove boundary loss, (A2) remove diversity loss, (A3) vary subspace dimension d ∈ {2,5,10}, (A4) cVAE vs conditional flow, (A5) RL controller vs random grid selection. Synthetic budgets: n_synth ∈ {0.5×, 1×, 2×} n_real. Evaluation: report mean and 95% CI for all metrics; compute ΔF2 vs best baseline; consider an improvement &gt;=0.05 absolute as practically meaningful.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generator collapse (low diversity), boundary intrusion (synthetic points overlapping majority), or mode-missing when manifold assumptions fail. Data/evaluation biases: limited minority samples may yield unreliable density or manifold estimates; held-out validation sets may not reflect deployment distributions. Identifiability and stability: subspace rotation non-identifiability can make explanations unstable across seeds. Scalability and compute: Riemannian MCMC and high-D W updates scale poorly with large D or d; compute budgets may limit frequent posterior refinements. Statistical limits: theoretical excess-risk bound depends on constants (C1..C5), generator TV error η, and overlap mass m_overlap which may be hard to estimate reliably in finite samples. Fairness trade-offs: overlap rejection can disproportionately remove valid minority subregions, reducing coverage for subgroups. Generalization limits: if minority does not concentrate near a low-dimensional manifold, subspace-focused generation can harm performance. Measurement limits: proxies for coverage, overlap_prop, and generator bias have finite-sample variance and may mislead the GP surrogate if not estimated with sufficient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