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isogenic_hnsc_gbm_insm1_model</w:t>
      </w:r>
    </w:p>
    <w:p>
      <w:r>
        <w:t xml:space="preserve"> </w:t>
      </w:r>
    </w:p>
    <w:p>
      <w:pPr>
        <w:pStyle w:val="Heading2"/>
      </w:pPr>
      <w:r>
        <w:t>Title</w:t>
      </w:r>
    </w:p>
    <w:p>
      <w:r>
        <w:t>Sequential CRISPR-based generation and multi-omic characterization of isogenic human neural stem cells to study glioblastoma driver mutations and INSM1-linked neuronal progenitor programs</w:t>
      </w:r>
    </w:p>
    <w:p>
      <w:r>
        <w:t xml:space="preserve"> </w:t>
      </w:r>
    </w:p>
    <w:p>
      <w:pPr>
        <w:pStyle w:val="Heading2"/>
      </w:pPr>
      <w:r>
        <w:t>Short Hypothesis</w:t>
      </w:r>
    </w:p>
    <w:p>
      <w:r>
        <w:t>Sequential introduction of TERT promoter activation, TP53 loss, and PDGFRA activation into isogenic human neural stem cells increases INSM1-dependent neuronal progenitor transcriptional programs and metabolic stress relative to unedited controls.</w:t>
      </w:r>
    </w:p>
    <w:p>
      <w:r>
        <w:t xml:space="preserve"> </w:t>
      </w:r>
    </w:p>
    <w:p>
      <w:pPr>
        <w:pStyle w:val="Heading2"/>
      </w:pPr>
      <w:r>
        <w:t>Related Work</w:t>
      </w:r>
    </w:p>
    <w:p>
      <w:r>
        <w:t>Existing approaches use CRISPR editing of human neural stem cells (NSCs) or patient-derived glioma cells combined with bulk or single-cell RNA and ATAC profiling to study glioblastoma (GBM) drivers and developmental programs such as INSM1. Prior work showed that individual GBM drivers can alter transcriptional state and chromatin, and that INSM1 is associated with neuronal progenitor-like programs. Common limitations are limited clonal replication (often one clone per genotype), incomplete genome-integrity screening (few studies use shallow whole-genome sequencing or unbiased off-target mapping), rare time-resolved perturbation to separate direct from indirect targets, and inconsistent statistical designs that do not model clone and differentiation batch effects. Endogenous engineering of complex events such as EGFRvIII is often unsuccessful and studies instead rely on overexpression cassettes without dosage control. Multi-modal hypothesis testing and conservative cross-modal false-discovery control are also underdeveloped in prior pipelines.</w:t>
      </w:r>
    </w:p>
    <w:p>
      <w:r>
        <w:t xml:space="preserve"> </w:t>
      </w:r>
    </w:p>
    <w:p>
      <w:pPr>
        <w:pStyle w:val="Heading2"/>
      </w:pPr>
      <w:r>
        <w:t>Abstract</w:t>
      </w:r>
    </w:p>
    <w:p>
      <w:r>
        <w:t>We propose to build an isogenic human neural stem cell platform that models canonical glioblastoma driver mutations by sequential CRISPR engineering of the TERT promoter, TP53, and PDGFRA. Using at least two independent clones per genotype and multiple differentiations per clone, we will generate matched multi-omic datasets: single-cell RNA-seq, single-cell ATAC-seq, CUT&amp;Tag for INSM1 and histone marks, nascent RNA (SLAM-seq) for time-resolved target calling, phospho-proteomics, and shallow whole-genome sequencing for genome-integrity. We will attempt endogenous EGFRvIII deletion in parallel with an inducible safe-harbor EGFRvIII cassette to compare native versus titratable signaling effects. Primary contributions are (1) a rigorously validated isogenic hNSC resource with conservative clone-acceptance rules, (2) an integrated, pre-registered statistical and QC framework that models clone and batch effects, and (3) a mechanistic map linking GBM drivers to INSM1-mediated neuronal progenitor programs and metabolic stress. Outcomes will clarify tumor-intrinsic plasticity driven by GBM mutations and provide reproducible resources for hypothesis testing.</w:t>
      </w:r>
    </w:p>
    <w:p>
      <w:r>
        <w:t xml:space="preserve"> </w:t>
      </w:r>
    </w:p>
    <w:p>
      <w:pPr>
        <w:pStyle w:val="Heading2"/>
      </w:pPr>
      <w:r>
        <w:t>Experiments</w:t>
      </w:r>
    </w:p>
    <w:p>
      <w:r>
        <w:t>Datasets and genotypes: parental human NSC line (vendor or established lab line) will generate genotypes: control (unedited), TERTp-activated, TP53-loss, PDGFRA-activated, pairwise combinations (TERTp+TP53, TP53+PDGFRA), triple (TERTp+TP53+PDGFRA), and EGFR models (attempt endogenous EGFRvIII deletion; inducible safe-harbor EGFRvIII cassette with degron). For each genotype: ≥2 independent clones; ≥3 independent biological differentiations per clone (total ≥6 biological replicates). Assays per biological replicate: scRNA-seq (target 5,000–10,000 high-quality cells after QC; 30–50k reads/cell), scATAC-seq or Multiome (10,000–20,000 nuclei; &gt;10,000 unique fragments/nucleus), CUT&amp;Tag for INSM1 and histone marks (≥2–3 biological replicates; 10–20M reads/sample), SLAM-seq or 4sU-seq for nascent RNA at 0.5 h, 2 h, 6 h, 24 h post- INSM1 degron, phospho-proteomics (global phospho-enrichment + targeted phospho-flow) at baseline, 15 min, 1 h, 6 h, 24 h, and shallow WGS (0.5–1×) for CNV and genome-integrity. Baselines: parental unedited NSCs, rescue lines (guide-resistant cDNA in safe-harbor), and inducible EGFR cassette controls. Evaluation metrics and statistical models: primary transcriptional tests use pseudobulk per clone×differentiation (aggregation unit) with linear mixed-effects models: log2(CPM+1) ~ Genotype*INSM1 + covariates + (1|Clone/DifferentiationBatch). scATAC differential peaks use analogous LMM on peak counts. Multiple testing: Benjamini–Hochberg FDR q&lt;0.05 primary; hierarchical testing pre-specifies a small primary outcome set (INSM1 direct-target gene list and pathway scores) before exploratory genome-wide tests. Key readouts: number of INSM1 direct targets (defined as CUT&amp;Tag peak at regulatory region + early nascent change ≤6 h + motif enrichment), fraction of cells assigned to neuronal progenitor states (label transfer and marker scoring), differential accessibility peaks, phosphosite fold-changes for EGFR–PI3K–AKT axis, metabolic stress measures (cellular ATP, ROS, and Seahorse extracellular flux measures). Baselines and comparisons: (A) edited genotypes vs control; (B) endogenous EGFRvIII editing vs inducible EGFR cassette (ablation/comparison to test native vs titratable effect); (C) INSM1 rapid degron perturbation vs CRISPRi/KO (ablation to separate immediate vs sustained effects). Sample size and power: use at least 2 clones × 3 differentiations, with power simulations (mixed-model simulation) run prior to scaled experiments to confirm capacity to detect ~20% expression shifts and 1.5-fold accessibility changes. Software and pipelines: Seurat/SCTransform for scRNA, ArchR or Signac for scATAC integration, lme4 or nlme in R for LMMs, DESeq2/edgeR for differential counts, motif analysis with MEME or HOMER, and proteomics pipelines per standard tools. Quality control: pre-specified thresholds (mosaicism &lt;5% by amplicon NGS, no de novo CNV &gt;1 Mb, scRNA nFeature 200–6,000 and percent mito &lt;10%, scATAC TSS enrichment &gt;8 and FRiP &gt;20%).</w:t>
      </w:r>
    </w:p>
    <w:p>
      <w:r>
        <w:t xml:space="preserve"> </w:t>
      </w:r>
    </w:p>
    <w:p>
      <w:pPr>
        <w:pStyle w:val="Heading2"/>
      </w:pPr>
      <w:r>
        <w:t>Risk Factors And Limitations</w:t>
      </w:r>
    </w:p>
    <w:p>
      <w:r>
        <w:t>Technical failure modes: endogenous engineering of EGFRvIII may fail or select for large CNVs; CRISPR edits can produce off-target indels or selection for p53-pathway alterations, causing biased clones. Data and evaluation biases: differentiation variability between batches may confound genotype effects; single-cell capture inefficiency or high doublet rate could reduce usable cells. Scalability and compute: large multi-omic single-cell datasets and proteomics require substantial storage and compute for integration and mixed-model simulations. Limits to generalization: isogenic NSC models do not capture tumor microenvironment, immune interactions, or patient tumor heterogeneity; findings in one parental NSC line may not generalize to other donors. Measurement limits: nascent RNA and CUT&amp;Tag timepoints may miss very transient events; phosphosite detection sensitivity may limit detection of low-abundance signals. Ethical and regulatory constraints: use of human-derived cell lines and animal xenografts requires approvals that can delay timelines. Operational risks: failure to meet QC thresholds (mosaicism, CNV, scATAC quality) may require recloning and extend project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