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retina_bionic_lidar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Retina-inspired chip-scale LiDAR using reconfigurable electro-optic frequency-comb channels for adaptive 4D machine vision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Allocating sensing resources using retina-inspired, reconfigurable electro-optic frequency-comb channels (dynamic gazing) reduces energy per useful bit by at least 3× versus uniform scanning while maintaining range RMSE ≤3 cm at 20 m on 50% reflectance targets under comparable latency and token-throughput budgets.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LiDAR approaches include uniform mechanical scanning, MEMS-based scanning, and coherent FMCW (frequency-modulated continuous-wave) or pulsed schemes. Prior adaptive or 'bionic' systems demonstrate higher-resolution focus on small regions but typically rely on bulky optics, single-channel lasers, or software-heavy postprocessing. Coherent FMCW methods improve Doppler and range resolution but are often power- or hardware-inefficient when scaled to many parallel channels. Electro-optic frequency combs have been used for parallel coherent sensing but lack integrated, chip-scale reconfigurability for per-ROI allocation. Practical systems also under-address multipath separation in high-ambient light, tail-latency bounds in real-time control loops, and end-to-end energy metrics tied to perception outcomes. Key limitations: (1) inefficient global oversampling, (2) limited parallel coherent channel reconfigurability, (3) insufficient hardware/software co-design for low-latency closed-loop ROI planning, and (4) weak, reproducible eye-safety automation and validation practices.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inefficient global LiDAR sampling by introducing a retina-inspired, chip-scale architecture that implements dynamic gazing: adaptive allocation of coherent sensing channels to high-value regions. The system combines an agile external-cavity laser (a tunable narrow-line laser) with reconfigurable electro-optic frequency combs (sets of discrete closely spaced optical frequencies) to create multiple coherent, parallel channels that can be steered and reallocated in real time. A low-latency control stack (inner FPGA loops for detector gating, mid-level controllers for per-ROI pulse scheduling, outer planners for MEMS/beam trajectories) closes the sensing-perception loop with camera-cooperative saliency guidance. Main contribution: a hardware-efficient mapping of reconfigurable comb channels to ROI-aware sensing that optimizes information-per-Joule while meeting timing, range precision, and eye-safety constraints. Expected outcome: demonstrable ≥3× energy efficiency over uniform scanning on standard 4D perception tasks, comparable range precision (≤3 cm RMSE at 20 m), and improved multipath separation performance in both synthetic and real scenarios.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1) Synthetic HIL photon Monte Carlo suite with parameterized IRF (200 ps–2 ns), BRDFs (Lambertian, glossy, retro), ambient photon injection (1e5–1e7 cps/pixel), and controllable multipath geometry; 2) Real dual-wavelength (905 nm VCSEL fovea + 1550 nm assist) captures with motion-capture ground truth and structured-light scans for range/reflectance labels. Baselines: A) uniform mechanical scan (fixed dwell, fixed PRF), B) MEMS-only scanning with equivalent transmit power budget, C) fixed-frequency-comb parallel sensing without reconfiguration. Metrics: information-per-Joule (bits per Joule, computed as posterior entropy reduction per transmit energy), range RMSE and 1σ precision, multipath separation rate (percent of trials correctly resolving N components with TOF separation thresholds), SNR per-peak (dB), token throughput (tokens/s), and latency percentiles (inner, mid, outer loops; report 50th/95th/99th). Experimental setup: prototype with TDC ≤50 ps bin, FPGA per-channel FIFOs (64k events), DMA to host via PCIe Gen3 x4, configurable PRF and pulse energy, and camera synchronization for cooperative saliency. Procedure: run repeated scenarios (N≥50 per condition) measuring metrics across varying ROI counts, ambient levels, and motion speeds. Ablations: 1) disable comb reconfigurability (compare to C), 2) vary number of comb channels (e.g., 4, 8, 16) to measure scaling, 3) disable camera cooperation to quantify perception-guided gains, 4) vary EM deconvolution iterations (K=2,6,12) to measure multipath vs latency tradeoff. Acceptance tests: information-per-Joule ≥3× baseline with p&lt;0.05, range RMSE ≤3 cm at 20 m on 50% reflectance, outer-loop command-to-actuation ≤30 ms at 95th percentile, and multipath separation ≥90% for TOF separations ≥5 ns.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Component and manufacturability risks: VCSEL/OPA/comb vendor yield, MEMS reliability, and supply lead times may limit prototypes. Thermal limits: high-density fovea bursts can exceed cooling capacity, forcing lower duty cycles. Eye-safety: real-time MPE constraints (especially at 905 nm) may require aggressive duty-cycle reduction when humans are present, reducing performance. Multipath and IRF limits: broad IRF or very dense multipath can prevent separation below a few nanoseconds. Compute and latency limits: FPGA/SoC BRAM, DSP, and memory-bandwidth caps may prevent full parallelization; tail-latency (cache misses, DMA stalls, interconnect RTT) can violate strict inner/mid-loop budgets. Dataset and evaluation bias: synthetic HIL may not capture all real-world BRDFs and lighting; sample-size variance may undercut statistical power if scenes are not diverse. Generalization: performance measured with dual-wavelength prototype may not transfer to single-wavelength or different optics without retuning. Scalability: scaling to very large ROI counts increases token rates and may exceed PCIe/host processing capabilities.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