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interacting_filaments_vesicle_morphogenesis</w:t>
      </w:r>
    </w:p>
    <w:p>
      <w:r>
        <w:t xml:space="preserve"> </w:t>
      </w:r>
    </w:p>
    <w:p>
      <w:pPr>
        <w:pStyle w:val="Heading2"/>
      </w:pPr>
      <w:r>
        <w:t>Title</w:t>
      </w:r>
    </w:p>
    <w:p>
      <w:r>
        <w:t>Combined theoretical modeling and molecular dynamics simulation of interacting filament loops controlling vesicle morphogenesis under electrostatic and membrane mechanics</w:t>
      </w:r>
    </w:p>
    <w:p>
      <w:r>
        <w:t xml:space="preserve"> </w:t>
      </w:r>
    </w:p>
    <w:p>
      <w:pPr>
        <w:pStyle w:val="Heading2"/>
      </w:pPr>
      <w:r>
        <w:t>Short Hypothesis</w:t>
      </w:r>
    </w:p>
    <w:p>
      <w:r>
        <w:t>For fixed filament density and membrane tension, reducing ionic screening (increasing the effective electrostatic interaction range) increases protrusion frequency and stability and shifts vesicles from near-spherical to tubular or constricted morphologies, as measured by increased Fourier-mode power (k=3–8) and longer protrusion lifetimes.</w:t>
      </w:r>
    </w:p>
    <w:p>
      <w:r>
        <w:t xml:space="preserve"> </w:t>
      </w:r>
    </w:p>
    <w:p>
      <w:pPr>
        <w:pStyle w:val="Heading2"/>
      </w:pPr>
      <w:r>
        <w:t>Related Work</w:t>
      </w:r>
    </w:p>
    <w:p>
      <w:r>
        <w:t>Prior approaches combine membrane mechanics (Helfrich-type bending models) and filament mechanics (wormlike-chain models for semiflexible polymers) or perform coarse-grained molecular dynamics of filaments inside vesicles. Existing studies typically: (1) neglect long-range electrostatics or treat electrostatics as short-range screened interactions, (2) focus on single filaments or noninteracting filament networks rather than multiple closed loops, (3) report qualitative morphologies without calibrated links to experimental imaging, and (4) omit rigorous uncertainty propagation from imaging noise and segmentation into model inference. These limitations leave unresolved how electrostatic screening length, inter- and intrafilament long-range forces, and membrane tension jointly determine quantitative morphological transitions and which summary statistics reliably identify phases.</w:t>
      </w:r>
    </w:p>
    <w:p>
      <w:r>
        <w:t xml:space="preserve"> </w:t>
      </w:r>
    </w:p>
    <w:p>
      <w:pPr>
        <w:pStyle w:val="Heading2"/>
      </w:pPr>
      <w:r>
        <w:t>Abstract</w:t>
      </w:r>
    </w:p>
    <w:p>
      <w:r>
        <w:t>We study how interacting filament loops confined inside lipid vesicles drive large-scale membrane shape changes when long-range electrostatic forces compete with filament and membrane elastic energies. We combine continuum stability analysis and coarse-grained molecular dynamics with explicit electrostatic screening to generate synthetic morphologies across membrane tension, vesicle size, filament stiffness, and ionic strength. Model outputs are compared to calibrated imaging-derived summary statistics (Fourier-mode amplitudes, curvature spectra, protrusion counts and lifetimes, and filament nematic order) using likelihood-free inference (approximate Bayesian computation) that propagates measurement uncertainty. The main contribution is a set of morphological phase diagrams and quantified parameter windows that map electrostatic screening and mechanical parameters to observable phenotypes, plus a reproducible, calibrated pipeline linking experiments and simulations. Expected outcomes are (i) testable thresholds for protrusion formation, (ii) prioritized parameter regimes for artificial-cell and soft-robot design, and (iii) validated summary statistics for robust model discrimination.</w:t>
      </w:r>
    </w:p>
    <w:p>
      <w:r>
        <w:t xml:space="preserve"> </w:t>
      </w:r>
    </w:p>
    <w:p>
      <w:pPr>
        <w:pStyle w:val="Heading2"/>
      </w:pPr>
      <w:r>
        <w:t>Experiments</w:t>
      </w:r>
    </w:p>
    <w:p>
      <w:r>
        <w:t>Datasets: (A) Simulated dataset suite comprising continuum linear-stability outputs and coarse-grained molecular dynamics (MD) runs sampling membrane tension {0.01,0.1,1.0} mN/m, vesicle radius 5–60 µm, filament density 10–500 filaments/µm2, filament persistence lengths 0.1–10 µm (wormlike chain = semiflexible polymer; persistence length = length scale over which filament stays straight), and Debye screening lengths λ_D from short (strong screening) to long (weak screening). (B) Experimental pilot data: six-condition matrix (C1–C6) with 30 vesicles/condition across ≥2 preps: tension bins, actin/nucleator/motor concentrations and membrane compositions as specified in the pilot plan. Baselines: (1) model without long-range electrostatics (purely short-range steric/adhesive forces), (2) passive membrane control (no active motors), (3) continuum-only prediction without discrete filaments. Evaluation metrics: protrusion frequency per vesicle per minute normalized by membrane perimeter, protrusion lifetime survival curves (median and hazard ratio), Fourier-mode amplitudes k=0–10 normalized by vesicle radius, normalized RMSE between simulated and experimental Fourier spectra, posterior predictive p-value, nematic order Q (0–1; Q measures local filament alignment), Wasserstein distance for curvature histograms, and ROC/power curves from synthetic sweeps. Experimental setup: calibrated fluorescence (DOL, MESF beads, single-molecule step-bleach) to convert intensity→molecules/µm2; micropipette aspiration and osmotic-deflation for tension control; spinning-disk 3D imaging and TIRF/HILO for membrane-proximal events. Inference &amp; comparison: run ABC posterior fits for full model and baselines, record acceptance fraction and posterior widths. Ablations: (A) remove explicit electrostatics, (B) fix filament stiffness, (C) vary observation noise model (Poisson+Gaussian vs empirical bleaching) to test identifiability. Report synthetic ROC curves, power-vs-N plots, and ablation performance tables.</w:t>
      </w:r>
    </w:p>
    <w:p>
      <w:r>
        <w:t xml:space="preserve"> </w:t>
      </w:r>
    </w:p>
    <w:p>
      <w:pPr>
        <w:pStyle w:val="Heading2"/>
      </w:pPr>
      <w:r>
        <w:t>Risk Factors And Limitations</w:t>
      </w:r>
    </w:p>
    <w:p>
      <w:r>
        <w:t>1) Imaging and segmentation error: low SNR, photobleaching, fluorophore blinking, or algorithm failures can bias summary statistics; segmentation/tracing below target precision/recall alters inference. 2) Non-Gaussian noise: camera shot noise (Poisson), blinking, and heteroskedastic bleaching produce non-Gaussian errors that complicate likelihood assumptions. 3) Parameter identifiability: correlated nuisance parameters (filament density, tension, volume constraint) may make unique parameter recovery impossible in some regimes. 4) Micropipette/tension edge cases: adhesion, contact-angle corrections, or pore formation during aspiration can invalidate tension estimates. 5) Scale mismatch and compute cost: coarse-grained MD that resolves filaments and membrane at micron scales is computationally expensive and may not reach large vesicle sizes or long timescales; continuum models may miss discrete filament effects. 6) Model mismatch: simplified electrostatic models (Debye-Hückel) may not capture multivalent ions or strong coupling regimes. 7) Biological generalization limits: results for reconstituted vesicles may not transfer to living cells with active regulation. 8) Data sharing and reproducibility constraints: large imaging data, calibration files, and annotations require storage and curation. 9) Synthetic-test dependence: thresholds justified on synthetic sweeps may not fully predict real-world false-positive/negative rates. 10) Timeline and resource risks: pipette fabrication, fluorophore availability, or specialized imaging hardware failures can delay pilots.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