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llm_mental_health_triage</w:t>
      </w:r>
    </w:p>
    <w:p>
      <w:r>
        <w:t xml:space="preserve"> </w:t>
      </w:r>
    </w:p>
    <w:p>
      <w:pPr>
        <w:pStyle w:val="Heading2"/>
      </w:pPr>
      <w:r>
        <w:t>Title</w:t>
      </w:r>
    </w:p>
    <w:p>
      <w:r>
        <w:t>Evaluation of large language models for automated triage and decision support in detecting current suicidality and active psychosis from longitudinal clinical text</w:t>
      </w:r>
    </w:p>
    <w:p>
      <w:r>
        <w:t xml:space="preserve"> </w:t>
      </w:r>
    </w:p>
    <w:p>
      <w:pPr>
        <w:pStyle w:val="Heading2"/>
      </w:pPr>
      <w:r>
        <w:t>Short Hypothesis</w:t>
      </w:r>
    </w:p>
    <w:p>
      <w:r>
        <w:t>Applying a fine-tuned large language model to de-identified longitudinal clinical text will detect cases meeting clinician-administered C-SSRS-defined current suicide risk and MINI/SCID-defined probable active psychosis with sensitivity ≥90% (and specificity ≥95% target tiers) compared to reference clinical assessments performed within 7 days.</w:t>
      </w:r>
    </w:p>
    <w:p>
      <w:r>
        <w:t xml:space="preserve"> </w:t>
      </w:r>
    </w:p>
    <w:p>
      <w:pPr>
        <w:pStyle w:val="Heading2"/>
      </w:pPr>
      <w:r>
        <w:t>Related Work</w:t>
      </w:r>
    </w:p>
    <w:p>
      <w:r>
        <w:t>Prior work applies natural language processing and pretrained language models to clinical notes and patient messages for risk screening and conversational therapy. Existing approaches include rule-based keyword screens, bag-of-words or logistic models, clinical Transformer models (models pre-trained on medical text), and early use of large language models as chatbots. Reported limitations are: limited clinical gold-standard validation (few studies use structured interviews like C-SSRS or SCID), small single-site cohorts, weak external/temporal validation, incomplete handling of longitudinal context, poor calibration and interpretability, vulnerability to adversarial inputs and hallucinations, and scarce quantification of privacy vs utility under differential privacy or federated training. There is also sparse reporting of subgroup performance and clinical workload impact, and few reproducible red-team libraries for safety testing.</w:t>
      </w:r>
    </w:p>
    <w:p>
      <w:r>
        <w:t xml:space="preserve"> </w:t>
      </w:r>
    </w:p>
    <w:p>
      <w:pPr>
        <w:pStyle w:val="Heading2"/>
      </w:pPr>
      <w:r>
        <w:t>Abstract</w:t>
      </w:r>
    </w:p>
    <w:p>
      <w:r>
        <w:t>We address whether large language models (LLMs) can safely and reliably identify current suicide risk and probable active psychosis from de-identified longitudinal clinical text. We propose to fine-tune LLMs on multi-site, annotated datasets where gold-standard labels come from clinician-administered instruments: the Columbia-Suicide Severity Rating Scale (C-SSRS; a standard suicidality interview) and structured psychosis modules (SCID/MINI). The main contribution is a preregistered evaluation framework that pairs performance (sensitivity, specificity, calibration) with clinical endpoints (time-to-evaluation), external and temporal validation across diverse sites and languages, adversarial stress testing, and privacy-utility mapping under federated learning and differential privacy (DP). Expected outcomes are: (1) quantification of LLM detection performance against clinician reference standards, (2) measured trade-offs of privacy methods on clinical utility, and (3) a reproducible red-team library and evaluation pipeline for safety-critical deployment studies. Results will inform whether LLM-driven triage meets predefined safety thresholds for prospective clinical validation.</w:t>
      </w:r>
    </w:p>
    <w:p>
      <w:r>
        <w:t xml:space="preserve"> </w:t>
      </w:r>
    </w:p>
    <w:p>
      <w:pPr>
        <w:pStyle w:val="Heading2"/>
      </w:pPr>
      <w:r>
        <w:t>Experiments</w:t>
      </w:r>
    </w:p>
    <w:p>
      <w:r>
        <w:t>Datasets: multi-site de-identified longitudinal clinical corpora from 5–8 diverse sites (primary care, ED, outpatient psychiatry, community), languages: English + Spanish + one Asian language; each record linked to clinician-administered C-SSRS (suicidality) and MINI/SCID psychosis module within 7 days and 90-day outcome follow-up. Required positives: ≈140 labeled positives per endpoint. Baselines: (1) rule-based keyword classifier, (2) logistic regression on TF-IDF features, (3) clinical BERT (Transformer pretrained on EHR text), (4) LLM zero-shot prompting (no fine-tuning). Proposed model: fine-tuned LLM with longitudinal context windows and provenance links. Splits and validation: stratified by site and time; train/validation/test with temporal holdout (last 12–24 months) and external-site holdout. External validation: evaluate on each external site separately. Metrics: sensitivity (recall), specificity, AUC (area under ROC curve; measures ranking), PPV/NPV (predictive values), calibration metrics: Brier score and Expected Calibration Error (ECE; measures mismatch between predicted probability and observed frequency), time-to-clinician-evaluation (survival analysis: Cox proportional hazards model; technical term: measures time until clinician action), subgroup metrics by age/sex/race/language, and clinician workload (alerts per 1,000 screens). Statistical tests: mixed-effects logistic regression with site random intercepts for binary endpoints, hierarchical Cox models for time-to-event, and bootstrapped 95% CIs accounting for clustering. Privacy experiments: federated fine-tuning with secure aggregation and selective Gaussian differential privacy (DP) using ε ∈ {0.5,1,4} and δ ≤1e-5; measure ΔAUC and Δsensitivity vs centralized baseline. Calibration experiments: Platt scaling and isotonic regression applied post-hoc. Ablations: (A) remove longitudinal context (single-note input), (B) remove provenance links, (C) use hard labels vs soft/probabilistic labels reflecting annotator uncertainty, (D) privacy vs non-privacy. Adversarial tests: red-team library including negation/hedging, prompt injection, code-switching, paraphrase, simulated malingering, missingness, and demographic swap tests; record sensitivity drop and harmful-hallucination rate (annotated proportion of outputs that give false or dangerous recommendations). Power/sample-size scenarios: present total N for prevalences 5%, 2%, 1% (e.g., for 5% prevalence and 140 positives N≈2800); incorporate design effect DE=1+(m-1)*ICC with ICC priors [0.01,0.05] and cluster size m≈200 to generate per-site and total-N tables. Comparison and ablation studies: compare fine-tuned LLM vs clinical BERT and logistic baselines on all metrics; ablate longitudinal context and soft labels; compare centralized vs federated+DP settings. Reproducibility: release evaluation code, model card, and red-team scripts; provide synthetic dataset artifacts for public benchmarks.</w:t>
      </w:r>
    </w:p>
    <w:p>
      <w:r>
        <w:t xml:space="preserve"> </w:t>
      </w:r>
    </w:p>
    <w:p>
      <w:pPr>
        <w:pStyle w:val="Heading2"/>
      </w:pPr>
      <w:r>
        <w:t>Risk Factors And Limitations</w:t>
      </w:r>
    </w:p>
    <w:p>
      <w:r>
        <w:t>False negatives: missing true high-risk cases can cause patient harm. False positives: high alert volume increases clinician workload and alert fatigue. Annotation bias: clinician labels and interviews may vary (inter-rater variability). Selection bias: consenting sites/patients may not represent wider populations. Calibration drift: model probabilities may become unreliable over time as practice or population changes. Privacy-utility trade-off: differential privacy or federated training may reduce AUC and sensitivity (utility loss). Adversarial vulnerability: models can fail under negation, prompt injection, or crafted inputs. Cross-lingual and low-resource limits: performance may degrade on underrepresented languages or low-resource sites. Scalability and compute: fine-tuning large models and federated aggregation require substantial compute and communication. Regulatory and ethical constraints: IRB, SaMD classification, reporting obligations, and emergency-disclosure rules may limit data access and deployment. Generalization limits: models trained on specific EHR styles or populations may not generalize to other care settings or demographic groups.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