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ml_credit_scoring_srl</w:t>
      </w:r>
    </w:p>
    <w:p>
      <w:r>
        <w:t xml:space="preserve"> </w:t>
      </w:r>
    </w:p>
    <w:p>
      <w:pPr>
        <w:pStyle w:val="Heading2"/>
      </w:pPr>
      <w:r>
        <w:t>Title</w:t>
      </w:r>
    </w:p>
    <w:p>
      <w:r>
        <w:t>Systematic literature review and reproducible benchmarking of machine learning methods for financial credit scoring</w:t>
      </w:r>
    </w:p>
    <w:p>
      <w:r>
        <w:t xml:space="preserve"> </w:t>
      </w:r>
    </w:p>
    <w:p>
      <w:pPr>
        <w:pStyle w:val="Heading2"/>
      </w:pPr>
      <w:r>
        <w:t>Short Hypothesis</w:t>
      </w:r>
    </w:p>
    <w:p>
      <w:r>
        <w:t>Applying a standardized, time-aware, and reproducible benchmarking protocol will show that modern ML methods (gradient-boosted trees and neural networks) provide at most a 0.02 mean AUC improvement over regularized logistic regression on longitudinal public credit datasets when evaluated with origination-cohort time splits, time-dependent AUC, and calibration-aware metrics.</w:t>
      </w:r>
    </w:p>
    <w:p>
      <w:r>
        <w:t xml:space="preserve"> </w:t>
      </w:r>
    </w:p>
    <w:p>
      <w:pPr>
        <w:pStyle w:val="Heading2"/>
      </w:pPr>
      <w:r>
        <w:t>Related Work</w:t>
      </w:r>
    </w:p>
    <w:p>
      <w:r>
        <w:t>Prior work explores many machine learning approaches for credit scoring, including tree ensembles, deep learning, survival models, and ensemble techniques. Recent trends emphasize benchmarking, fairness, survival/time-to-default modeling, drift detection, differential privacy, federated learning, and reproducibility. However, studies vary widely in protocol and are limited by inconsistent data splits (often random shuffles that cause leakage), small or non-longitudinal datasets, lack of time-aware evaluation (omitting survival or IPCW time-dependent AUC), sparse reporting on calibration and subgroup uncertainty, limited privacy/federation experiments, and poor artifact sharing (missing seeds, manifests, or reproducible code). These weaknesses make reported gains hard to compare, may overstate performance, and leave open questions about real-world utility, fairness across small subgroups, and robustness under drift or privacy constraints.</w:t>
      </w:r>
    </w:p>
    <w:p>
      <w:r>
        <w:t xml:space="preserve"> </w:t>
      </w:r>
    </w:p>
    <w:p>
      <w:pPr>
        <w:pStyle w:val="Heading2"/>
      </w:pPr>
      <w:r>
        <w:t>Abstract</w:t>
      </w:r>
    </w:p>
    <w:p>
      <w:r>
        <w:t>We present a systematic literature review and reproducible benchmark protocol to evaluate machine learning methods for financial credit scoring published between 2018 and 2024. The project identifies prevailing ML techniques, maps their empirical performance under time-aware evaluation, and produces open benchmark artifacts: curated longitudinal datasets (public where possible and synthetic generators otherwise), data-cards, canonical preprocessing, baseline model configs, and evaluation scripts. Key technical elements include origination-cohort time splits, IPCW time-dependent AUC (a score that accounts for censored time-to-default observations), calibration metrics, decision-curve expected utility, and explicit power analyses using parametric survival data-generating processes. We will run baseline families (logistic regression, LightGBM/XGBoost, random forest, Cox PH, RSF, and small MLPs) with fixed seeds and defined hyperparameter budgets, plus DP and federated variants. The main contribution is a transparent, regulator-ready synthesis and benchmark that reveals which ML advances yield substantive, reproducible gains and where gaps remain for fairness, privacy, and deployment.</w:t>
      </w:r>
    </w:p>
    <w:p>
      <w:r>
        <w:t xml:space="preserve"> </w:t>
      </w:r>
    </w:p>
    <w:p>
      <w:pPr>
        <w:pStyle w:val="Heading2"/>
      </w:pPr>
      <w:r>
        <w:t>Experiments</w:t>
      </w:r>
    </w:p>
    <w:p>
      <w:r>
        <w:t>Datasets: LendingClub/Prosper loan-level data (with PII removed), Freddie Mac Single-Family loan-performance, Fannie Mae performance files, available FCA datasets, plus synthetic cohorts generated by a seedable simulator (Weibull baseline hazards, covariate-dependent hazards, right-censoring, vintage covariate shift, heavy-tail protected-group sampling, copula-based feature correlation, optional borrower-network contagion). Data-card fields and dataset checksums will be published. Splits: origination-cohort non-overlapping vintages: train = earliest vintages, val = next contiguous vintages, test = most recent vintage; support rolling-window experiments. Baselines: logistic regression (L2, 5 C values), LightGBM and XGBoost (100 random/Bayesian trials each), Random Forest (30 trials), Cox PH elastic-net, Random Survival Forest (50 trials), MLP (2 layers 64/32, 50 trials). Hyperparameter budgets, seed manifest, and early-stopping rules recorded. Metrics: AUC (discrimination), time-dependent AUC via IPCW with Uno correction (handles censoring; IPCW = inverse probability of censoring weighting), Brier score (mean squared error of probabilities), calibration slope/intercept and ECE (expected calibration error), Harrell's and Uno's C, decision-curve expected utility under defined cost matrix, and subgroup bootstrap CIs. Evaluation rules: meaningful superiority = AUC uplift &gt;=0.02 vs logistic with non-overlapping 95% CIs; report ECE and ROI. Power analysis: simulate Weibull DGPs across event rates and vintages to produce power curves (detectable AUC delta vs sample size and events); publish code. Ablations and comparisons: (1) time-split vs random-shuffle splits to quantify leakage effects; (2) calibration on/off to measure calibration benefit; (3) DP-SGD noise levels (eps in {0.1,1,10}, delta choices documented) to produce privacy–utility curves; (4) federated FedAvg experiments (clients in {5,20}, rounds 50–200) comparing IID and non-IID splits; (5) synthetic vintage drift injection to test drift detection (PSI/KS and multivariate tests) and retrain triggers. Uncertainty: stratified bootstrap for subgroup CIs; hierarchical Bayesian pooling when subgroup events &lt;100. Reproducibility: Docker/Conda specs, deterministic pipelines, and signed artifacts.</w:t>
      </w:r>
    </w:p>
    <w:p>
      <w:r>
        <w:t xml:space="preserve"> </w:t>
      </w:r>
    </w:p>
    <w:p>
      <w:pPr>
        <w:pStyle w:val="Heading2"/>
      </w:pPr>
      <w:r>
        <w:t>Risk Factors And Limitations</w:t>
      </w:r>
    </w:p>
    <w:p>
      <w:r>
        <w:t>Label quality and censoring: default labels may be noisy, delayed, or left-truncated; survival assumptions may not hold. Small-event counts: some datasets or subgroups may lack sufficient positive events for reliable estimates, limiting generalization. Data access and legal constraints: licensing or privacy rules may prevent sharing raw data; synthetic data may not fully reflect real-world complexity. Temporal leakage: improper splits can inflate performance; strict adherence to origination-cohort splits is required. Privacy and DP: strong privacy (small epsilon) can substantially reduce utility (AUC and calibration). Federated non-IID data: client heterogeneity can degrade federated convergence and fairness. Computational cost: hyperparameter searches, survival estimators, privacy accounting, and federated simulations require substantial compute. Metric interpretation: different metrics (AUC, time-dependent AUC, calibration) can conflict and complicate model selection. Regulatory mapping variability: legal interpretations (ECOA, GDPR, FCA) differ by jurisdiction, limiting universal prescriptions. Reproducibility fragility: environment or library changes can affect exact replication without strict pinning of versions.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