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smtp_bounce_nn_compare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Comparative evaluation of GRU, CNN, and TCN neural architectures for predicting SMTP errors and bounces in cold-email delivery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When trained on the same input representation and matched parameter budgets, temporal convolutional networks (TCNs) will produce a higher precision-recall area under curve (PR-AUC) for predicting SMTP bounces in cold-email logs than bidirectional GRUs and 1D CNNs.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practice for predicting email delivery outcomes combines rule-based SMTP code mapping, heuristic filters, and classical supervised models (logistic regression, tree ensembles) using aggregated features. Some recent work applies sequence-aware neural models to communication logs, but published comparisons are limited: they often use different data splits, unequal model capacity, or lack robust corrections for class imbalance. Prior studies rarely report clustered statistical tests (e.g., by sending IP/domain), do not evaluate privacy-preserving training (differential privacy), and seldom assess fairness across recipient/provider groups. Limitations include inconsistent input representations for sequences, insufficient ablations of embedding choices for high-cardinality fields, little analysis of label-noise robustness, and few operational benchmarks (latency, model size) that matter for deployment.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automatic prediction of SMTP errors and bounces in cold-email sending, a problem that affects delivery rates and sender reputation. We compare three neural sequence families—Gated Recurrent Units (GRU), one-dimensional Convolutional Neural Networks (CNN), and Temporal Convolutional Networks (TCN)—under strict parity of input representation and parameter budget to isolate architectural effects. The study uses operational cold-email logs (sender/IP, per-attempt response codes, timestamps, aggregated metadata) and measures predictive utility primarily by PR-AUC (precision-recall area under curve). Main contributions are (1) a reproducible benchmark and matched training protocol for fair GRU/CNN/TCN comparison, (2) ablation studies on embedding strategies for high-cardinality features, sequence length, and label-noise resilience, and (3) evaluation of privacy (differentially private training) and fairness (group-wise calibration) tradeoffs. Expected outcome: a defensible ranking of architectures and practical guidance for deployable models that balance accuracy, privacy, and operational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Data: real cold-email transaction logs with temporal metadata. Target dataset size range 100k–1M transactions; ensure ≥5,000 positive bounce examples for low-prevalence settings. Provide a held-out temporal test window and a held-out sender-domain cluster for domain-generalization checks. 2) Inputs: per-attempt step vectors (normalized numerics, categorical embeddings, SMTP-code embeddings, compact text encodings), fixed max sequence length default = 10 (padding + mask). Categorical rule: embed if cardinality V ≤ 2000 else hashing+embedding. Embedding dim = min(64, max(8, floor(6*log2(V)))). 3) Models: (a) GRU: 2–3 layer bidirectional GRU, masked inputs; (b) CNN: multi-kernel 1D conv stacks with residuals and dilations; (c) TCN: causal dilated conv blocks with residuals. Match total parameter count across families to ±10%. 4) Baselines: logistic regression (L2), LightGBM/XGBoost, and deterministic rule-based mapper using same features. 5) Training: uniform hyperbudget: 200 GPU-hours per model family; ~100 random-search trials + Bayesian refinement for finalists; early stopping on validation PR-AUC. Loss: class-weighted focal loss variants tuned within budget. For privacy: run DP-SGD grid with clipping_norm ∈ {0.1,1.0,5.0}, noise_multiplier ∈ {0.5,1.0,2.0,4.0}, δ = 1/N and report ε via Rényi accountant. 6) Repeats &amp; stats: run ≥5 independent seeded training runs per config; report mean and variance. Use hierarchical (clustered) bootstrap with cluster unit = sending IP or domain, 5,000 resamples for 95% CIs on PR-AUC. Use clustered permutation tests for pairwise differences and Holm correction for multiple comparisons. 7) Metrics: primary = PR-AUC (pre-register as single primary outcome). Secondary = ROC-AUC, macro F1, Brier score, expected calibration error (ECE), precision@k, per-group PR-AUC and calibration. 8) Ablations: embedding-dim sweep, sequence-length {5,10,20}, hashing bucket sizes, label-noise injection {1%,5%,10%,20%}, hybrids (CNN→GRU, CNN→TCN), and DP noise/clipping effects on subgroup metrics. 9) Synthetic &amp; augmentation: conditional CTGAN and Sequence-VAE for class balancing and privacy-safe snapshots; validate with MMD and classifier two-sample tests (C2ST). 10) Operational checks: measure p50/p95 CPU latency, model size, memory footprint, and cost per 1k predictions for deployed formats.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Label quality and noise: SMTP reply texts are noisy and ambiguous; labeling errors reduce measurable gains and can bias models. 2) Class imbalance: low-prevalence bounce classes limit statistical power and inflate variance of PR-AUC estimates. 3) Distribution shift: sender behavior and provider policies change over time, hurting generalization to future windows or unseen domains. 4) Differential privacy utility loss: DP-SGD noise and clipping can substantially degrade PR-AUC and subgroup calibration, especially for rare classes. 5) High-cardinality collisions: hashing for very large categorical spaces can introduce collision noise that affects downstream accuracy. 6) Compute and reproducibility: matching capacity across families and running ≥5 seeds with DP variants requires significant compute; resource limits may restrict full ablation coverage. 7) Legal/ethical constraints: inferred attributes (geography, org-size) can be noisy and raise privacy or compliance concerns; publishing real datasets may be restricted. 8) Limited generalization: results on a single cold-email corpus may not transfer to other email types or messaging systems. 9) Statistical multiplicity: many ablations increase false-discovery risk unless contrasts are pre-registered and limited.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