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optical_ife_tuning_biyig</w:t>
      </w:r>
    </w:p>
    <w:p>
      <w:r>
        <w:t xml:space="preserve"> </w:t>
      </w:r>
    </w:p>
    <w:p>
      <w:pPr>
        <w:pStyle w:val="Heading2"/>
      </w:pPr>
      <w:r>
        <w:t>Title</w:t>
      </w:r>
    </w:p>
    <w:p>
      <w:r>
        <w:t>On-demand optical tuning of coherent magnon frequency in nanometer-thick BiYIG using ultrafast circular pump pulses and external magnetic fields</w:t>
      </w:r>
    </w:p>
    <w:p>
      <w:r>
        <w:t xml:space="preserve"> </w:t>
      </w:r>
    </w:p>
    <w:p>
      <w:pPr>
        <w:pStyle w:val="Heading2"/>
      </w:pPr>
      <w:r>
        <w:t>Short Hypothesis</w:t>
      </w:r>
    </w:p>
    <w:p>
      <w:r>
        <w:t>Circularly polarized ultrafast visible pump pulses produce a helicity-dependent effective field (inverse Faraday effect, IFE) in nanometer-thick BiYIG that shifts the uniform magnon frequency by ≥1 MHz at pump fluence ≤0.5 mJ/cm² without producing irreversible changes in saturation magnetization or anisotropy.</w:t>
      </w:r>
    </w:p>
    <w:p>
      <w:r>
        <w:t xml:space="preserve"> </w:t>
      </w:r>
    </w:p>
    <w:p>
      <w:pPr>
        <w:pStyle w:val="Heading2"/>
      </w:pPr>
      <w:r>
        <w:t>Related Work</w:t>
      </w:r>
    </w:p>
    <w:p>
      <w:r>
        <w:t>Prior work has demonstrated optically induced magnetization dynamics via two main channels: (1) inverse Faraday effect (IFE), an ultrafast, helicity-dependent effective magnetic field that can drive instantaneous torques, and (2) optothermal changes in magnetic anisotropy and saturation that produce slower, helicity-independent frequency shifts. Experiments have detected helicity-dependent moment tilts and frequency changes in thicker garnets and metallic films, but IFE amplitudes reported are small and often comparable to thermal signals. Major limitations are (a) difficulty separating sub-picosecond IFE signatures from slower heating, (b) weak IFE in ultrathin or disordered films where optical absorption and spin–orbit coupling differ, (c) insufficient frequency resolution when magnon lifetimes are short, and (d) confounding contributions from spin pumping into adjacent heavy metals and nonmagnetic index changes. Existing inversion approaches often lack end-to-end uncertainty quantification linking raw TR-MOKE traces to ΔH_k(t) and ΔM_eff(t).</w:t>
      </w:r>
    </w:p>
    <w:p>
      <w:r>
        <w:t xml:space="preserve"> </w:t>
      </w:r>
    </w:p>
    <w:p>
      <w:pPr>
        <w:pStyle w:val="Heading2"/>
      </w:pPr>
      <w:r>
        <w:t>Abstract</w:t>
      </w:r>
    </w:p>
    <w:p>
      <w:r>
        <w:t>We propose an experimental program to demonstrate and quantify reversible, helicity-dependent control of coherent magnon frequency in nanometer-thick bismuth-substituted yttrium iron garnet (BiYIG) films. Using circularly polarized, visible ultrafast pump pulses combined with an applied magnetic field and heterodyne time-resolved magneto-optical Kerr effect (TR-MOKE) detection, we will measure transient frequency shifts of the uniform magnon mode and test whether an IFE-driven effective field can produce sign-reversible Δf ≥ 1 MHz at pump fluence ≤ 0.5 mJ/cm². The contribution of optothermal pathways will be separated by polarization controls, pump-wavelength scans, repetition-rate (steady-state heating) sweeps, heavy-metal spacer tests, and two-pulse delay sequences. Main contributions are (1) quantitative numeric priors for IFE amplitude and decay in specific BiYIG stacks, (2) an inversion pipeline with Bayesian uncertainty quantification that maps f(t), Γ(t) → ΔH_k(t), ΔM_eff(t), and (3) stack- and mounting-specific steady-state thermal maps. Expected outcome: a reproducible, statistically validated demonstration (95% credible exclusion of zero IFE) of helicity-dependent magnon-frequency control in ultra-thin magnetic films at room temperature.</w:t>
      </w:r>
    </w:p>
    <w:p>
      <w:r>
        <w:t xml:space="preserve"> </w:t>
      </w:r>
    </w:p>
    <w:p>
      <w:pPr>
        <w:pStyle w:val="Heading2"/>
      </w:pPr>
      <w:r>
        <w:t>Experiments</w:t>
      </w:r>
    </w:p>
    <w:p>
      <w:r>
        <w:t>Samples and datasets: (1) BiYIG thin films with thickness series {5,10,20,40} nm on GGG substrate; for each thickness prepare three stack variants: (A) BiYIG only, (B) BiYIG + Pt (direct heavy metal), (C) BiYIG + spacer (MgO 2–5 nm) + Pt. Fabricate patterned disks: diameters {200 nm, 500 nm, 1 μm, 2 μm} and unpatterned pads. Datasets collected: raw heterodyne TR-MOKE traces (pump-probe delay up to 10 ns), static VSM/SQUID hysteresis, broadband FMR spectra pre/post tests, on-chip RTD temperature logs, and synthetic noisy TR-MOKE datasets for inversion validation. Baselines and controls: linear-polarized pump (null for IFE), pump-blocked baseline, helicity flip (LCP vs RCP), pump-wavelength sweep (resonant vs nonresonant), heavy-metal removal/spacer test, low-repetition single-shot fluence ramps, and two-pulse delay sequences. Additional orthogonal probes: time-resolved XMCD or BLS on selected samples. Experimental setup: visible pump (pulse duration &lt;200 fs) variable fluence 0.05–0.5 mJ/cm², probe wavelength chosen for strong Kerr rotation, heterodyne balanced detection, AOM pump modulation, external field sweep 0–300 mT in-plane/out-of-plane as needed. Acquisition regimes: single-shot low-rep for damage, averaged Navg in {10^3,10^4,10^5} at repetition rates 100 kHz–1 MHz; Tobs determined by measured damping (use Tobs=1/(αω) estimate). Inversion and analysis: apply sliding-window FFT, Hilbert transform, and maximum-likelihood spectral estimation to extract instantaneous f(t), Γ(t), and phase. Run Bayesian inversion (LLGS-based forward model including H_IFE(t) and temperature-dependent K_u and M_s) with priors from TDDFT/atomistic estimates or fallback literature priors. Produce posterior distributions for ΔH_k(t), ΔM_eff(t), and H_IFE amplitude. Ablation studies: compare inversions with (i) full model (IFE + thermal), (ii) thermal-only model, and (iii) IFE-only model to evaluate identifiability. Evaluation metrics and acceptance criteria: primary metric Δf_helicity = f_RCP - f_LCP peak shift magnitude and sign; numeric target Δf_helicity ≥ 1 MHz at ≤0.5 mJ/cm², reproducible sign reversal for ≥10 cycles across ≥3 devices; detection limit verification Δf_min ≤ 0.3–1 MHz depending on Tobs and Navg. Secondary metrics: posterior 90% credible interval for H_IFE excludes zero (preferably 95%), Bayes factor &gt;10 favoring IFE+thermal vs thermal-only, no irreversible change in M_s or H_k post-test (&lt;2% change by VSM/FMR), and measured Δα (change in damping) below 0.01 unless intentionally studied. Statistical tests: report posterior credible intervals, Bayes factors, and Fisher-information-based identifiability thresholds on synthetic datasets matching measured SNR and Tobs. Comparison/ablation example: show that under Navg=10^4, Tobs=6 ns, SNR_shot≈5, the full model recovers H_IFE with 90% credible interval width &lt;50% of median, whereas thermal-only inversion yields biased ΔH_k(t) with Bayes factor &lt;1 relative to full model.</w:t>
      </w:r>
    </w:p>
    <w:p>
      <w:r>
        <w:t xml:space="preserve"> </w:t>
      </w:r>
    </w:p>
    <w:p>
      <w:pPr>
        <w:pStyle w:val="Heading2"/>
      </w:pPr>
      <w:r>
        <w:t>Risk Factors And Limitations</w:t>
      </w:r>
    </w:p>
    <w:p>
      <w:r>
        <w:t>Technical failure modes: (1) H_IFE amplitude too small in nm-thick BiYIG to produce measurable Δf above thermal noise; (2) steady-state heating at high rep rates causing irreversible sample damage or large thermal ΔK_u that mask IFE; (3) mode overlap and edge/localized modes leading to ambiguous instantaneous frequency estimates; (4) spin pumping into adjacent heavy metals producing damping changes that mimic frequency shifts. Data and evaluation biases: TR-MOKE measures an optically weighted depth integral of magnetization and refractive-index changes; nonmagnetic index changes (Δn) can bias apparent Kerr signals. Scalability and compute limits: TDDFT for disordered/amorphous regions and full-3D atomistic + LLGS simulations are computationally heavy and may have large uncertainty bounds; micromagnetic simulations of large arrays or very fine spatial resolution increase compute needs. Instrument limits: detector NEP, LO phase noise, and timing jitter may force long averaging times (Navg ≥10^4) with consequent experiment duration and cumulative heating. Limits to generalization: results obtained on BiYIG stacks and specific mounting/thermal anchoring may not transfer quantitatively to metallic films (CoFeB, FeGa) or different substrates. Experimental uncertainty: inversion may yield correlated uncertainties between ΔH_k(t) and ΔM_eff(t) making unique mechanistic attribution difficult at low SNR. Statistical limits: required device yields and sample-to-sample variation may demand more wafers than planned to meet conservative pass criteria (e.g., ≥80% working devices per chip).</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