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task_similarity_predictor_nia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composite fitness-landscape task-similarity metric to predict transfer-learning effectiveness for nature-inspired optimization algorithms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higher composite task-similarity score computed from standardized fitness-landscape descriptors causally predicts positive transfer-learning gains (Hedges' g &gt; 0) when transferring populations, parameters, or surrogate models between source and target optimization tasks for nature-inspired algorithms.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transfer learning for nature-inspired algorithms (NIAs) has implemented strategies such as seeding (warm-starting populations), parameter transfer, surrogate-model reuse, and hyper-heuristic transfer. Reviews report growing interest but highlight inconsistent terminology, ad hoc transfer decisions, and frequent exclusion of non-deep-learning methods. Fitness-landscape analysis (measuring properties like modality, ruggedness, separability, conditioning, and noise) is used in optimization research to explain algorithm performance, but it has not been systematically assembled into a reproducible, machine-readable metric for predicting transfer success. Existing evaluations often use small benchmark sets, lack standardized descriptors, and do not quantify how task similarity maps to transfer outcomes. Limitations therefore include: absence of a standardized task-similarity measure, inconsistent reporting of transfer protocols and hyperparameter tuning, and scarce large-scale validation across diverse NIA families and real-world tasks.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reproducible, machine-readable composite task-similarity metric based on standardized fitness-landscape descriptors to predict when transfer learning will improve performance of nature-inspired optimization algorithms (NIAs). Fitness-landscape descriptors are numeric measures of a problem's shape (for example, modality = number of peaks; ruggedness = roughness of the surface). Our approach combines multiple descriptors (modality, separability, ruggedness, conditioning, dimensionality, and noise) into a weighted composite score and provides a JSON Schema for extractor fields. The main contribution is an empirical validation showing that the composite score predicts transfer-induced gains across synthetic benchmarks, standard black-box suites, and a curated set of real-world optimization tasks using diverse NIAs (GA, PSO, DE, CMA-ES, ACO). Expected outcomes include (1) a validated predictor with quantified accuracy for positive-transfer classification and (2) a machine-readable extraction instrument to enable reproducible meta-analysis and automated decision rules for transfer selection.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families with controlled landscape parameters: tunable multimodal, ruggedness, separability, conditioning, and noise generators (e.g., configurable landscapes producing known descriptor ranges); (2) BBOB/COCO black-box benchmark functions across dimensions {5, 20, 50}; (3) CEC benchmark suites used in evolutionary computation; (4) curated real-world problems from engineering (truss design), scheduling, and parameter estimation; (5) corpus-derived tasks from the systematic review (extracted study tasks and reported outcomes). Algorithms and transfer methods: GA, PSO, DE, CMA-ES, and ACO. Transfer implementations: population seeding (copying individuals), parameter transfer (optimizer hyperparameters), surrogate-model reuse (retrain on target), and hyper-heuristic policy transfer. Baselines: no-transfer (cold-start), random-seed transfer, single-descriptor heuristics (e.g., dimensionality-only), and oracle (measured true transfer gain). Evaluation metrics: primary effect = Hedges' g for objective improvement; secondary metrics = mean-best objective, area under convergence curve (AUC of best-so-far), success rate (fraction reaching target threshold), iterations-to-target, and runtime (function evaluations). Statistical analyses: compute Pearson/Spearman correlation between composite similarity and Hedges' g; binary classification ROC/AUC for predicting positive transfer (Hedges' g &gt; 0); multilevel mixed-effects regression predicting effect size with random intercepts for algorithm and problem family; cross-validation to estimate out-of-sample predictive accuracy. Experimental setup: for each source-target pair run 30 independent trials with fixed seeds and identical function-evaluation budgets (e.g., 10,000 evaluations) per algorithm; hyperparameter tuning budget is held constant and performed on source only to avoid target leakage. Ablations: (A) remove each descriptor from the composite to measure contribution; (B) compare equal weights vs learned weights (linear regression / regularized regression); (C) test per-algorithm and pooled predictors; (D) vary dimensionality and noise to assess robustness. Reporting: 95% confidence intervals via bootstrap; pre-register analysis plan and JSON Schema for extracted descriptors.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Estimator instability: fitness-landscape descriptors can be noisy, especially in high dimensions, causing unreliable similarity scores. Compute cost: exhaustive cross-algorithm/source-target experiments require large compute budgets and long runtimes. Negative transfer: even high similarity may not guarantee improvement for some transfer methods, producing false positives. Algorithm dependence: composite weights may be specific to algorithm families and not generalize. Benchmark gap: synthetic or benchmark functions may not represent real-world constraints or mixed-variable encodings, limiting external validity. Hyperparameter confounds: improper separation of tuning budgets can bias measured transfer gains. Small-sample limits: limited number of real-world tasks may reduce statistical power for meta-regression. Data availability: closed-access or missing full texts for literature-derived tasks may limit corpus validation. Measurement bias: choice of descriptor calculators and their versions affects reproducibility. Multi-objective and constrained problems: the metric as defined targets single-objective unconstrained landscapes and may not extend directly to constrained or multi-objective settings.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