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rift_linkage_inheritance</w:t>
      </w:r>
    </w:p>
    <w:p>
      <w:r>
        <w:t xml:space="preserve"> </w:t>
      </w:r>
    </w:p>
    <w:p>
      <w:pPr>
        <w:pStyle w:val="Heading2"/>
      </w:pPr>
      <w:r>
        <w:t>Title</w:t>
      </w:r>
    </w:p>
    <w:p>
      <w:r>
        <w:t>Coupled 3D geodynamic and surface‑process modeling with Bayesian data assimilation to test how rift linkage and inheritance control collisional mountain belt evolution</w:t>
      </w:r>
    </w:p>
    <w:p>
      <w:r>
        <w:t xml:space="preserve"> </w:t>
      </w:r>
    </w:p>
    <w:p>
      <w:pPr>
        <w:pStyle w:val="Heading2"/>
      </w:pPr>
      <w:r>
        <w:t>Short Hypothesis</w:t>
      </w:r>
    </w:p>
    <w:p>
      <w:r>
        <w:t>Geometry and continuity of pre‑collisional rift linkages (length and connectivity) directly control the spatial concentration and timing of exhumation during subsequent continent–continent collision, such that short, discontinuous linkages produce narrow, early exhumation domains while long, continuous linkages produce broader, later exhumation domains.</w:t>
      </w:r>
    </w:p>
    <w:p>
      <w:r>
        <w:t xml:space="preserve"> </w:t>
      </w:r>
    </w:p>
    <w:p>
      <w:pPr>
        <w:pStyle w:val="Heading2"/>
      </w:pPr>
      <w:r>
        <w:t>Related Work</w:t>
      </w:r>
    </w:p>
    <w:p>
      <w:r>
        <w:t>Existing studies use 2D or limited 3D thermo‑mechanical models, standalone surface/landscape evolution models, and independent seismic or thermochronologic observations to infer controls on orogenesis. Approaches that couple deep lithospheric dynamics to surface processes at upper‑mantle scale are rare. Prior assimilation work typically treats data types separately or uses simple misfit metrics without hierarchical uncertainty models. Limitations include (1) reduced dimensionality (mostly 2D) that cannot capture along‑strike linkage and step‑over effects, (2) weak treatment of measurement and process uncertainty and no formal model‑discrepancy term, (3) limited integration of seismic anisotropy and provenance with thermo‑mechanical state, and (4) few reproducible ensemble assimilation frameworks that are computationally benchmarked. These gaps reduce identifiability of key parameters (linkage length, continuity, rheology contrasts) and prevent robust, quantitative comparison to natural cases.</w:t>
      </w:r>
    </w:p>
    <w:p>
      <w:r>
        <w:t xml:space="preserve"> </w:t>
      </w:r>
    </w:p>
    <w:p>
      <w:pPr>
        <w:pStyle w:val="Heading2"/>
      </w:pPr>
      <w:r>
        <w:t>Abstract</w:t>
      </w:r>
    </w:p>
    <w:p>
      <w:r>
        <w:t>We address how pre‑collisional rift linkage geometry and structural inheritance control three‑dimensional inversion and exhumation during continent–continent collision. We propose coupling full 3D upper‑mantle‑scale thermo‑mechanical models with a surface/landscape evolution module and a Bayesian data‑assimilation framework (Ensemble Kalman Filter with targeted hybrid fallbacks) to compare synthetic outputs directly with seismic imaging, thermochronology, and provenance data. Main contributions are (1) a reproducible pipeline that generates synthetic observables (cooling histories, detrital spectra, seismic attributes) from 3D forward runs, (2) formal priors and a hierarchical observation model including an explicit model‑discrepancy term, and (3) synthetic‑twin tests that quantify parameter recoverability and sensitivity for linkage length, continuity, and rheological contrasts. Expected outcomes are quantified rules linking rift linkage metrics to exhumation width and timing, validated identifiability limits under realistic data densities, and diagnostic templates applicable to the Greater Caucasus, Atlas, and Pyrenees.</w:t>
      </w:r>
    </w:p>
    <w:p>
      <w:r>
        <w:t xml:space="preserve"> </w:t>
      </w:r>
    </w:p>
    <w:p>
      <w:pPr>
        <w:pStyle w:val="Heading2"/>
      </w:pPr>
      <w:r>
        <w:t>Experiments</w:t>
      </w:r>
    </w:p>
    <w:p>
      <w:r>
        <w:t>Datasets: (A) Synthetic twin datasets: Stage A 2D twins (thermochronology + D/L metrics), Stage B medium‑complexity 3D twins (add seismic travel times, anisotropy, provenance), Stage C full 3D twins (realistic noise, missing data). (B) Natural case compilations: Greater Caucasus, Atlas, Pyrenees with field structural maps, active/passive seismic profiles, thermochron transects (5–10 transects, 6–12 samples per transect), and detrital zircon samples (100–150 grains per unit). Baselines: (1) forward 3D modeling with no assimilation, (2) EnKF assimilation without hybrid fallbacks, (3) 2D-only assimilation. Metrics: Wpeak (width of peak exhumation) in km, onset_age_diff (median modeled vs observed reactivation age in My), structural-strain_alignment (angle in degrees), D/L exponent difference, normalized RMSE, reduced chi-square for thermochron vectors, Earth Mover's Distance (EMD) for detrital spectra, rank histograms and ESS for ensemble calibration. Experimental setup: priors Llink ~ truncated log-normal (median 10 km, 95% bounds 5–30 km), continuity C ~ Beta(2,2), Δvisc log-uniform 1.2–10. Ensemble sizes: 40–60 members for 2D, 100–200 for 3D. Assimilation cycles: run 10 cycles for synthetic tests and 8–12 cycles for natural cases. Forward model resolution and per‑member cost recorded for benchmarking. Ablations/comparisons: (i) EnKF vs EnKF+hybrid (particle filter or MCMC on low‑dim subspace), (ii) include vs exclude explicit Gaussian‑process model‑discrepancy term, (iii) 2D vs 3D model geometry, (iv) with vs without fabric‑aligned anisotropy parameter. Evaluation: report recoverability fraction for each parameter (fraction of twins where true value lies within 95% posterior), sensitivity indices (Sobol) across observables and sampling densities, and comparative metric scores for baselines and ablations.</w:t>
      </w:r>
    </w:p>
    <w:p>
      <w:r>
        <w:t xml:space="preserve"> </w:t>
      </w:r>
    </w:p>
    <w:p>
      <w:pPr>
        <w:pStyle w:val="Heading2"/>
      </w:pPr>
      <w:r>
        <w:t>Risk Factors And Limitations</w:t>
      </w:r>
    </w:p>
    <w:p>
      <w:r>
        <w:t>Technical failure modes: forward-model numerical instability at high resolution, ensemble collapse causing non‑identifiable posteriors, particle degeneracy in hybrid steps. Data/evaluation biases: incomplete sampling, systematic lab biases in thermochronology or detrital age populations, spatially correlated seismic noise violating independence assumptions. Scalability and compute limits: large ensemble 3D campaigns require 100k–300k core‑hours per cycle and tens of TB storage; IO and checkpoint overheads may limit experiment throughput. Identifiability limits: some parameter combinations (e.g., correlated Llink and Δvisc) may be unresolvable with sparse data; 2D tests may overestimate recoverability relative to realistic 3D cases. Model‑form limitations: Gaussian‑process discrepancy may fail for sharp, nonstationary errors (e.g., abrupt rheological transitions), causing biased posteriors. Generalization limits: results tuned to target natural cases may not transfer to regions with different thermal histories or plate kinematics.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