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multicore_hs_wavefront</w:t>
      </w:r>
    </w:p>
    <w:p>
      <w:r>
        <w:t xml:space="preserve"> </w:t>
      </w:r>
    </w:p>
    <w:p>
      <w:pPr>
        <w:pStyle w:val="Heading2"/>
      </w:pPr>
      <w:r>
        <w:t>Title</w:t>
      </w:r>
    </w:p>
    <w:p>
      <w:r>
        <w:t>Single-shot hyperspectral wavefront sensing using a multicore-fiber Hartmann-like mask and speckle-spectral encoding</w:t>
      </w:r>
    </w:p>
    <w:p>
      <w:r>
        <w:t xml:space="preserve"> </w:t>
      </w:r>
    </w:p>
    <w:p>
      <w:pPr>
        <w:pStyle w:val="Heading2"/>
      </w:pPr>
      <w:r>
        <w:t>Short Hypothesis</w:t>
      </w:r>
    </w:p>
    <w:p>
      <w:r>
        <w:t>Replacing a conventional Hartmann mask with a multicore fiber that encodes wavefront gradients via spot displacements and spectra via speckle decorrelation (from the angular memory effect and limited spectral correlation width) enables joint single-shot recovery of spatially resolved wavefront phase and spectra with reconstruction RMSE ≤ 1.5× the Cramér–Rao bound for ≥80% of test cases across photon budgets 10^3–10^6 photons/pupil.</w:t>
      </w:r>
    </w:p>
    <w:p>
      <w:r>
        <w:t xml:space="preserve"> </w:t>
      </w:r>
    </w:p>
    <w:p>
      <w:pPr>
        <w:pStyle w:val="Heading2"/>
      </w:pPr>
      <w:r>
        <w:t>Related Work</w:t>
      </w:r>
    </w:p>
    <w:p>
      <w:r>
        <w:t>Traditional Shack–Hartmann and Hartmann sensors measure wavefront slopes with lenslet or aperture arrays but do not capture spectral content per spatial channel in a single shot. Single-shot hyperspectral imaging systems (dispersion-based, coded aperture, and compressive spectral imagers) recover spectra but generally do not recover wavefront phase jointly. Speckle-based spectral sensing and multimode-fiber methods use wavelength-dependent speckle patterns to infer spectra, relying on spectral decorrelation, but they do not concurrently encode or reconstruct spatial wavefront gradients. Multi-plane diffractive optical element (DOE) and coded-pupil designs aim to jointly encode spatial and spectral information but face fabrication alignment, throughput, and robustness limits. Existing single-shot joint methods typically lack: (1) explicit use of angular memory effect for gradient-to-displacement encoding, (2) integrated Fisher information (FI)/Cramér–Rao bound (CRB)-driven encoder design under realistic detector/optics nonidealities, and (3) comprehensive calibration and Monte Carlo robustness analyses that include correlated fabrication errors and detector effects. These gaps limit reliable, reproducible single-shot spatio-spectral wavefront recovery in practice.</w:t>
      </w:r>
    </w:p>
    <w:p>
      <w:r>
        <w:t xml:space="preserve"> </w:t>
      </w:r>
    </w:p>
    <w:p>
      <w:pPr>
        <w:pStyle w:val="Heading2"/>
      </w:pPr>
      <w:r>
        <w:t>Abstract</w:t>
      </w:r>
    </w:p>
    <w:p>
      <w:r>
        <w:t>We address single-shot recovery of spatially resolved wavefront phase and the associated spectra across a pupil. The proposed approach replaces the conventional Hartmann mask with a multicore fiber acting as a Hartmann-like encoder: wavefront gradients produce spot displacements at core outputs, while each core’s speckle pattern decorrelates across wavelength, encoding spectral information. The method leverages the angular memory effect (the fiber’s tendency to translate speckle for small input angle changes) and the limited spectral correlation width of speckle to separate gradient and spectral cues in one exposure. Main contributions are (1) a forward model and FI/CRB analysis for joint phase-spectrum estimation under realistic detector and optics nonidealities, (2) an AD-friendly encoder parameterization and robust Monte Carlo optimization across fabrication tolerance distributions, and (3) a calibration and uncertainty-propagation protocol to produce credible error bounds. Expected outcome: a compact, single-shot instrument and reconstruction pipeline that attains near-CRB joint estimation performance across practical photon budgets, enabling compact spatio-spectral metrology and adaptive optics diagnostics.</w:t>
      </w:r>
    </w:p>
    <w:p>
      <w:r>
        <w:t xml:space="preserve"> </w:t>
      </w:r>
    </w:p>
    <w:p>
      <w:pPr>
        <w:pStyle w:val="Heading2"/>
      </w:pPr>
      <w:r>
        <w:t>Experiments</w:t>
      </w:r>
    </w:p>
    <w:p>
      <w:r>
        <w:t>Datasets: (A) Synthetic: M = 24 wavelengths uniformly sampled 400–700 nm; pupil discretized 128×128; K = 15 Zernike modes for phase basis; spectra families: smooth (blackbody-like), sparse narrow lines (1–5 lines, width 0.5–2 nm), and mixed mixtures. Generate 100k training, 10k validation, 10k OOD test samples. Forward model: sCMOS baseline—pixel pitch 6.5 μm, QE(λ) table 400–900 nm (peak 0.85 at 550 nm), σ_read = 1.5 e− rms, full-well 30k e−, PRNU 1%, ADC 16-bit; include Poisson photon noise, additive Gaussian read noise, PRNU multiplicative map, IPC (interpixel crosstalk) as 3×3 convolution kernel with central weight 0.9, ADC quantization, saturation, detector nonlinearity curve, stray-light ghost layer, and BSDF scattering model. Photon budgets: sweep [1e3, 1e4, 1e5, 1e6] photons/pupil. Fabrication model: correlated phase error GP with σ_phi = λ/50 and ℓ_sp = 0.02–0.1 pupil diameter, spacing σ_z = 2 μm; sample N_fab = 500 Monte Carlo draws; for tail risk add importance-sampled extreme draws N_ext = 200. Bench: staged physical tests: (1) SLM emulation of multicore mask, (2) fabricated phase plate (single layer), (3) fabricated multicore fiber Hartmann-like mask. Baselines: (i) standard Hartmann mask + narrowband camera (per-wavelength acquisition), (ii) coded-pupil DOE + mild disperser optimized for FI, (iii) two-plane DOE stack optimized for FI, (iv) per-wavelength phase retrieval followed by spectral unmixing. Reconstruction algorithms: Poisson negative log-likelihood minimization with regularizers R_phase (group L1 on low Zernikes + L2 on high orders) and R_spec (spectral smoothness via second derivative), alternated S (nonneg NNLS) and β (phase coefficients) updates; learned unrolled solver as accelerator. Metrics: per-wavelength phase RMSE (radians), spectral RMSE (L2 relative), empirical variance / CRB ratio, FI eigenvalue spectrum and condition number, normalized bias = |E[θ̂]−θ|/√(CRB), 95% CI coverage, reconstruction latency (GPU), throughput (optical). Ablations: A1 vary spectral correlation width of speckle (simulate decorrelation lengths producing 2× and 0.5× nominal spectral resolution) to measure spectral-phase tradeoff; A2 compare multicore-fiber encoder vs coded-pupil DOE with identical DOF and throughput to isolate memory-effect benefit; A3 vary fabrication σ_phi by factors {0.2×,1×,5×} to test robustness. Success criteria per experiment: median phase RMSE ≤1.5×CRB and 95% CI coverage within ±5% for at least 80% of test cases at each photon budget.</w:t>
      </w:r>
    </w:p>
    <w:p>
      <w:r>
        <w:t xml:space="preserve"> </w:t>
      </w:r>
    </w:p>
    <w:p>
      <w:pPr>
        <w:pStyle w:val="Heading2"/>
      </w:pPr>
      <w:r>
        <w:t>Risk Factors And Limitations</w:t>
      </w:r>
    </w:p>
    <w:p>
      <w:r>
        <w:t>Technical failure modes: (1) insufficient spectral decorrelation of speckle across the band reduces spectral identifiability (the system relies on speckle changing with wavelength); (2) weak angular memory effect or limited stable core-to-core mapping reduces gradient-to-displacement encoding accuracy; (3) high detector nonidealities (strong PRNU, IPC, nonlinearity, stray-light) that are not well calibrated will bias estimates. Calibration and stability: precise spectral and PSF calibration required; thermal or mechanical drift will degrade H(·,λ) and increase uncertainty. Identifiability and trade-offs: there is an inherent tradeoff between spectral resolution (ability to separate nearby wavelengths) and spatial wavefront resolution; extreme spectra or wavefronts may be non-identifiable. Fabrication limits: manufacturing errors, interlayer spacing variation, and bonding method (adhesive vs optical contacting) can exceed modeled tolerances and cause performance loss. Compute and scalability: Monte Carlo robustness and joint inversion are computationally heavy (hundreds of fabric draws × recon trials) and may limit real-time deployment without learned accelerators. Generalization limits: performance measured on pupil-limited point-like inputs may not extend to extended or partially coherent scenes. Evaluation bias: synthetic training distributions and the calibration set must match real-world statistics, otherwise trained reconstructions can be biased.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