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joint_landscape_sequence_design</w:t>
      </w:r>
    </w:p>
    <w:p>
      <w:r>
        <w:t xml:space="preserve"> </w:t>
      </w:r>
    </w:p>
    <w:p>
      <w:pPr>
        <w:pStyle w:val="Heading2"/>
      </w:pPr>
      <w:r>
        <w:t>Title</w:t>
      </w:r>
    </w:p>
    <w:p>
      <w:r>
        <w:t>Joint optimization of sequence and conformational-landscape models for stable de novo protein design</w:t>
      </w:r>
    </w:p>
    <w:p>
      <w:r>
        <w:t xml:space="preserve"> </w:t>
      </w:r>
    </w:p>
    <w:p>
      <w:pPr>
        <w:pStyle w:val="Heading2"/>
      </w:pPr>
      <w:r>
        <w:t>Short Hypothesis</w:t>
      </w:r>
    </w:p>
    <w:p>
      <w:r>
        <w:t>Jointly optimizing models for p(sequence|structure) and p(structure|sequence) to increase the free-energy gap (ΔG_gap) and lower target free energy (ΔG_target) will produce de novo protein sequences with higher measured folding stability (larger experimental ΔG_fold) than sequences designed by sequence-only or structure-only methods.</w:t>
      </w:r>
    </w:p>
    <w:p>
      <w:r>
        <w:t xml:space="preserve"> </w:t>
      </w:r>
    </w:p>
    <w:p>
      <w:pPr>
        <w:pStyle w:val="Heading2"/>
      </w:pPr>
      <w:r>
        <w:t>Related Work</w:t>
      </w:r>
    </w:p>
    <w:p>
      <w:r>
        <w:t>Current protein design approaches fall into two broad groups: sequence-focused inverse-folding methods that predict sequences for a fixed backbone, and structure-focused prediction/refinement methods that predict structure from sequence. Inverse-folding tools (sequence|structure) are efficient at satisfying local packing but do not change backbone geometry and therefore can leave alternative misfolded states accessible. Structure prediction methods (structure|sequence) evaluate folding but are typically used passively for validation rather than active sequence redesign. Other trends—Bayesian optimization and active learning—optimize sequences under uncertainty but often use surrogate models that are poorly calibrated in free-energy units. Enhanced-sampling molecular dynamics and MSMs estimate free energies and kinetics but are too expensive to use for large design batches. Limitations across methods include: (1) neglect of joint sequence-backbone search that could shift the conformational landscape, (2) surrogate miscalibration and weak uncertainty propagation, (3) sparse experimental labels for free energy, and (4) lack of integrated pipelines that combine calibrated MD-derived ΔG and kinetic proxies with sequence optimization at scale.</w:t>
      </w:r>
    </w:p>
    <w:p>
      <w:r>
        <w:t xml:space="preserve"> </w:t>
      </w:r>
    </w:p>
    <w:p>
      <w:pPr>
        <w:pStyle w:val="Heading2"/>
      </w:pPr>
      <w:r>
        <w:t>Abstract</w:t>
      </w:r>
    </w:p>
    <w:p>
      <w:r>
        <w:t>We address the problem of designing de novo protein sequences whose intended fold is the most stable and most populated conformation. We propose a joint optimization framework that couples models for p(sequence|structure) (inverse folding) and p(structure|sequence) (structure prediction) with explicit, calibrated free-energy and kinetic proxies. The pipeline iterates between sequence proposals, backbone refinement, surrogate ΔG prediction, and enhanced-sampling molecular dynamics to estimate ΔG_target and ΔG_gap (the free-energy difference between the target basin and alternative basins). Main contributions: (1) a multi-objective loss that combines calibrated ΔG_target, ΔG_gap, kinetic proxies, and manufacturability penalties in physical units (kcal·mol−1); (2) a practical compute-aware protocol that uses surrogate ensembles and MD reweighting (MBAR) to propagate uncertainties; (3) an experimental plan pairing design rounds with high-throughput stability assays to validate gains. Expected outcome: reproducible de novo designs with larger experimental ΔG_fold and reduced alternative-state populations compared to sequence-only or structure-only baselines. (Technical terms explained: ΔG = folding free energy in kcal·mol−1; MBAR = a statistical reweighting method to combine simulation data.)</w:t>
      </w:r>
    </w:p>
    <w:p>
      <w:r>
        <w:t xml:space="preserve"> </w:t>
      </w:r>
    </w:p>
    <w:p>
      <w:pPr>
        <w:pStyle w:val="Heading2"/>
      </w:pPr>
      <w:r>
        <w:t>Experiments</w:t>
      </w:r>
    </w:p>
    <w:p>
      <w:r>
        <w:t>Datasets: (A) Small calibration set: 10 proteins (≤140 residues) with published experimental ΔG_fold used to calibrate MD scaling and surrogate uncertainty. (B) Surrogate training corpus: hybrid dataset ~10,000 examples combining experimental ΔG labels (where available), MD-reweighted ΔG estimates, and labeled negatives (Rosetta decoys, destabilizing single/double mutants, simulated unfolded ensembles); holdouts: fold-level (no shared fold family) and sequence-identity &lt;30%. Baselines: (1) Rosetta-only fixed-backbone design, (2) ML-only inverse-folding (proteinMPNN-style) on fixed backbones, (3) joint pipeline without kinetic proxy, (4) joint pipeline without ΔG_gap term. Methods under test: joint optimization loop with Straight-Through Gumbel-Softmax sequence gating (temperature annealing τ:1.0→0.1), surrogate ensemble (5 models), enhanced-sampling MD (REST2 with ~12 replicas and well-tempered metadynamics on RMSD_to_design and Q), MBAR/Tiwary reweighting for ΔG estimates, and MSM-derived kinetic proxies. Evaluation metrics: experimental ΔG_fold (kcal·mol−1) with 95% CI; Tm (°C); monodispersity fraction by SEC-MALS; backbone RMSD to design (Å) where structure available; RMSE and expected calibration error (ECE) of surrogate ΔG predictions; AUROC for stability classification; Kendall τ rank correlation between predicted and measured ΔG. Experimental protocol: tiered validation with Tier-1 synthesis of 20 candidate designs (screen: expression, SEC, nanoDSF), Tier-2 in-depth biophysics on 6 candidates (chemical denaturation for ΔG_fold, NMR or SAXS for alternative basins). Ablations: remove ΔG_gap term, remove kinetic proxy, vary surrogate ensemble size (3,5,10) and MC bootstrap counts (100,500,1000) to measure marginal gains vs compute. MD/analysis checks: require ESS&gt;200 for MBAR estimates and implied-timescale plateau for MSM kinetic reporting; if checks fail, mark candidate as insufficient data. Pilot: run full loop on 10 designs from distinct folds to validate integration; KPIs for pilot: Kendall τ ≥0.4, surrogate RMSE ≤1.5 kcal·mol−1 on calibration set, and ≥25% Tier-1 pass rate (monodisperse and soluble).</w:t>
      </w:r>
    </w:p>
    <w:p>
      <w:r>
        <w:t xml:space="preserve"> </w:t>
      </w:r>
    </w:p>
    <w:p>
      <w:pPr>
        <w:pStyle w:val="Heading2"/>
      </w:pPr>
      <w:r>
        <w:t>Risk Factors And Limitations</w:t>
      </w:r>
    </w:p>
    <w:p>
      <w:r>
        <w:t>Technical failure modes: surrogate models may be miscalibrated in free-energy units, producing misleading ΔG estimates; MD force-field bias may shift ΔG estimates relative to experiment. Data limits: experimentally measured ΔG labels are scarce, so surrogate training will depend on hybrid simulated labels that may not fully capture experimental noise. Compute and scalability: enhanced-sampling MD and MSMs are expensive (hundreds of GPU-hours per candidate), limiting throughput and creating selection bias toward fewer candidates. Generalization limits: models trained on existing fold classes may fail on novel de novo topologies. Evaluation biases: SEC-MALS and Tm are imperfect proxies for folding free energy and may miss low-population alternative states below assay detection limits. Kinetic proxies from MSMs require sufficient sampling; failure to converge will prevent reliable kinetic terms. Operational constraints: experimental timelines (synthesis, expression, biophysics) and reagent bottlenecks can delay iterative rounds. Reproducibility limits: many numeric defaults (ensemble size, bootstrap counts, MSM thresholds) are empirical and may need fold-specific tuning; results may depend on MD engine and exact simulation parameters.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