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tco_rl_tactical_truck</w:t>
      </w:r>
    </w:p>
    <w:p>
      <w:r>
        <w:t xml:space="preserve"> </w:t>
      </w:r>
    </w:p>
    <w:p>
      <w:pPr>
        <w:pStyle w:val="Heading2"/>
      </w:pPr>
      <w:r>
        <w:t>Title</w:t>
      </w:r>
    </w:p>
    <w:p>
      <w:r>
        <w:t>Deep reinforcement learning for highway tactical decision-making in autonomous trucks using a total cost of operation based multi-objective reward</w:t>
      </w:r>
    </w:p>
    <w:p>
      <w:r>
        <w:t xml:space="preserve"> </w:t>
      </w:r>
    </w:p>
    <w:p>
      <w:pPr>
        <w:pStyle w:val="Heading2"/>
      </w:pPr>
      <w:r>
        <w:t>Short Hypothesis</w:t>
      </w:r>
    </w:p>
    <w:p>
      <w:r>
        <w:t>A hierarchical high-level RL policy trained with a normalized multi-objective reward that directly optimizes total cost of operation (TCOP), combined with conservative model-based rollouts and separation from low-level MPC controllers, will reduce CVaR95 of episodic TCO by at least 3% relative to a strong rule-based baseline while meeting pre-specified safety margins (articulation buffer ≥3° and lateral acceleration buffer ≥0.2g) on held-out scenario sets.</w:t>
      </w:r>
    </w:p>
    <w:p>
      <w:r>
        <w:t xml:space="preserve"> </w:t>
      </w:r>
    </w:p>
    <w:p>
      <w:pPr>
        <w:pStyle w:val="Heading2"/>
      </w:pPr>
      <w:r>
        <w:t>Related Work</w:t>
      </w:r>
    </w:p>
    <w:p>
      <w:r>
        <w:t>Prior approaches to tactical decision-making for heavy vehicles include rule-based controllers and model-predictive control (MPC) for low-level tracking, imitation learning for behavior cloning, flat end-to-end RL that maps sensors directly to controls, and recent deep RL methods that use model-based rollouts (e.g., MBPO-style) or pessimism-based corrections (MOPO/MOReL) to reduce model bias. Economic or multi-objective rewards have been studied, but typically as isolated cost terms or as scalar weighted sums without normalization, annealing, or explicit tail-risk (CVaR) calibration. Existing uncertainty-aware critics often gate imagined rollouts but lack empirically tuned thresholds tied to TCO sensitivity. Simulation-to-real transfer work emphasizes domain randomization and HIL staging, but few studies jointly optimize for long-run operational cost, safety tail risk, and controller separation (high-level intent vs low-level MPC). Limitations in prior work include model bias in imagined transitions, insufficient tail-statistics planning (CVaR), weak grounding of reward weights, under-specified perception-failure models, and scarce reproducible artifact releases.</w:t>
      </w:r>
    </w:p>
    <w:p>
      <w:r>
        <w:t xml:space="preserve"> </w:t>
      </w:r>
    </w:p>
    <w:p>
      <w:pPr>
        <w:pStyle w:val="Heading2"/>
      </w:pPr>
      <w:r>
        <w:t>Abstract</w:t>
      </w:r>
    </w:p>
    <w:p>
      <w:r>
        <w:t>We address tactical decision-making for highway autonomous trucks by developing a hierarchical deep reinforcement learning (RL) framework that optimizes a multi-objective reward based on Total Cost of Operation (TCOP). The high-level RL agent issues intents (target speed, lane, maneuver) at low frequency while certified low-level MPC/tracker controllers handle dynamic feasibility. The reward normalizes and weights cost components (fuel, wear, time, safety, tolls) and is annealed by curriculum learning to transition from safety-first to economy-first behavior. To reduce model bias, we use ensemble dynamics with conservative model-based rollouts gated by validated uncertainty thresholds and dynamic horizon caps. Evaluation focuses on mean and tail risk of TCO (CVaR95), safety envelopes (articulation and lateral-accel margins), and sim-to-real transfer using offline→HIL→field staging. The main contribution is an auditable, reproducible pipeline that links RL training to operational economics and quantified tail risk. We expect improved TCO tail outcomes and safer tactical choices compared to rule-based and flat RL baselines, with explicit reproducibility artifacts for validation.</w:t>
      </w:r>
    </w:p>
    <w:p>
      <w:r>
        <w:t xml:space="preserve"> </w:t>
      </w:r>
    </w:p>
    <w:p>
      <w:pPr>
        <w:pStyle w:val="Heading2"/>
      </w:pPr>
      <w:r>
        <w:t>Experiments</w:t>
      </w:r>
    </w:p>
    <w:p>
      <w:r>
        <w:t>Datasets: fleet telematics (ego states, speed, acceleration, fuel), maintenance logs, route/grade maps, weather traces, sensor logs; synthetic scenario library with seeded variants and five holdout families: (1) heavy uphill load, (2) low-adhesion wet/ice, (3) trailer-sway onset, (4) actuator latency/failure, (5) abrupt lead braking. Baselines: (A) rule-based hierarchical policy (industry-like ACC+lane-change logic), (B) behavior cloning from logged data, (C) flat end-to-end RL, (D) hierarchical RL without model-based rollouts, (E) hierarchical RL with MBPO-style rollouts and no pessimism. Ablations: hierarchical vs flat; MB rollouts on vs off; ensemble critic sizes {1,3,5}; reward annealing schedules (safety-heavy → economic) and reward-normalization on/off. Metrics: mean episodic TCO, CVaR95 of episodic TCO (tail cost), incident rate per 10k km (minor/major), articulation angle margin (deg), lateral acceleration buffer (g), sim-to-real TCO delta, dTCO/d(sim_param) sensitivity matrix, model predictive RMSE vs horizon. Experimental setup: per-seed training target 3–6M environment steps (MB rollouts add 5–20× model steps), 5 seeds per ablation, 10 seeds for final comparisons; checkpoints every 50k steps; deterministic evaluation of 100 episodes per checkpoint across held-out seeds. Cross-validation: 5-fold scenario-family folds for CVaR calibration. Transfer staging: offline validation (100k km equiv.) → HIL non-actuated (timing/IO) → HIL active with interlocks (100–500 km) → shadowed field runs (10→100→1000 km). Compare final policies on held-out folds reporting 95% bootstrap CIs for mean and CVaR95 and two-sided tests or nonparametric tests when skewed.</w:t>
      </w:r>
    </w:p>
    <w:p>
      <w:r>
        <w:t xml:space="preserve"> </w:t>
      </w:r>
    </w:p>
    <w:p>
      <w:pPr>
        <w:pStyle w:val="Heading2"/>
      </w:pPr>
      <w:r>
        <w:t>Risk Factors And Limitations</w:t>
      </w:r>
    </w:p>
    <w:p>
      <w:r>
        <w:t>Technical failure modes: model-based rollouts can introduce biased transitions causing unsafe optimization (model bias); ensemble uncertainty may be miscalibrated, leading to over‑ or under‑trust of imagined data. Data and evaluation biases: fleet logs may underrepresent rare tail events (edge cases), causing underestimated CVaR; scenario library coverage may not match real-world distribution. Computation and scalability: per-seed budgets (~150–400 GPU·hours) and ensemble critics increase cost; large experiment matrices (many ablations × seeds) may exceed available compute. Generalization limits: policies trained in simulation can fail under unmodeled perception faults or vehicle parameter drift; sim-to-real delta in TCO can be large if simulator fidelity or perception error models are insufficient. Statistical limits: CVaR95 is a heavy-tail estimator requiring many episodes per fold for tight confidence intervals; small seed counts risk underpowered tail inference. Operational constraints: HIL and field testing require regulatory, insurance, and safety approvals and may impose delays. Data privacy: telematics and sensor logs contain sensitive data requiring anonymization and access controls.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