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text_to_music_brain_semantics</w:t>
      </w:r>
    </w:p>
    <w:p>
      <w:r>
        <w:t xml:space="preserve"> </w:t>
      </w:r>
    </w:p>
    <w:p>
      <w:pPr>
        <w:pStyle w:val="Heading2"/>
      </w:pPr>
      <w:r>
        <w:t>Title</w:t>
      </w:r>
    </w:p>
    <w:p>
      <w:r>
        <w:t>Mapping semantic embeddings from text-to-music generation models onto human auditory-cortex activity using fMRI encoding and representational analyses</w:t>
      </w:r>
    </w:p>
    <w:p>
      <w:r>
        <w:t xml:space="preserve"> </w:t>
      </w:r>
    </w:p>
    <w:p>
      <w:pPr>
        <w:pStyle w:val="Heading2"/>
      </w:pPr>
      <w:r>
        <w:t>Short Hypothesis</w:t>
      </w:r>
    </w:p>
    <w:p>
      <w:r>
        <w:t>Semantic embeddings from text-to-music generation models explain unique variance in auditory cortical fMRI responses beyond matched acoustic features.</w:t>
      </w:r>
    </w:p>
    <w:p>
      <w:r>
        <w:t xml:space="preserve"> </w:t>
      </w:r>
    </w:p>
    <w:p>
      <w:pPr>
        <w:pStyle w:val="Heading2"/>
      </w:pPr>
      <w:r>
        <w:t>Related Work</w:t>
      </w:r>
    </w:p>
    <w:p>
      <w:r>
        <w:t>Existing research connects computational audio models and human brain responses using representational similarity analysis (RSA) and encoding models; studies of music and speech often show brain sensitivity to low-level acoustics (envelope, pitch, timbre) and higher-level semantics in temporal lobe and inferior frontal areas. Text-to-music generative models and music language models can produce semantic embeddings or layerwise latents, but prior brain-mapping work has focused more on low-level decoding or small stimulus sets, lacked rigorous acoustic-matching, or did not control model-version drift. Limitations include under-specified HRF handling (hemodynamic timing), inadequate cross-validation to prevent temporal leakage, sparse power analyses for RSA/encoding effect sizes, and weak reproducibility (missing provenance for generated stimuli). Few studies attempt to reconstruct or generate audio from predicted semantic latents. These gaps leave unresolved whether semantic latents from text-to-music models map to auditory cortex independently of acoustics and whether brain-predicted latents can drive a music language model to recreate perceived semantics.</w:t>
      </w:r>
    </w:p>
    <w:p>
      <w:r>
        <w:t xml:space="preserve"> </w:t>
      </w:r>
    </w:p>
    <w:p>
      <w:pPr>
        <w:pStyle w:val="Heading2"/>
      </w:pPr>
      <w:r>
        <w:t>Abstract</w:t>
      </w:r>
    </w:p>
    <w:p>
      <w:r>
        <w:t>We test whether semantic representations inside text-to-music generation models correspond to human auditory-cortex activity measured with fMRI. We extract semantic embeddings and layerwise latents from frozen text-to-music models for a controlled stimulus set and obtain single-trial fMRI responses using LSS (least‑squares‑separate) estimation. We run representational analyses (RSA) and nested‑cross‑validated ridge encoding models to compare model latents against brain RDMs while partialling out matched acoustic features. We also decode predicted semantic embeddings from fMRI and feed them into a music language model to synthesize audio, evaluating reconstruction objectively and with listeners. Main contributions are (1) a preregistered pipeline combining acoustic-matched stimuli, robust HRF/temporal checks, and hierarchical resampling for inference; (2) an empirical test of unique semantic mapping in auditory cortex; and (3) a proof-of-concept brain-&gt;embedding-&gt;music generation path. Expected outcome: either clear evidence that model semantic latents explain brain responses above acoustics, enabling brain-conditioned generation, or null results that constrain model-to-brain semantic claims.</w:t>
      </w:r>
    </w:p>
    <w:p>
      <w:r>
        <w:t xml:space="preserve"> </w:t>
      </w:r>
    </w:p>
    <w:p>
      <w:pPr>
        <w:pStyle w:val="Heading2"/>
      </w:pPr>
      <w:r>
        <w:t>Experiments</w:t>
      </w:r>
    </w:p>
    <w:p>
      <w:r>
        <w:t>Datasets and participants: pilot N=6–8, main N≈30 healthy adults; 3T fMRI, multiband EPI, TR=1.5 s, slice timing recorded; stimuli: ~60 text prompts → generated music excerpts (6–10 s) using a frozen text-to-music model with fixed seeds and model hashes; holdout set ≈10 prompts for version checks. Acoustic features: envelope RMS, spectral centroid, spectral flux, MFCCs, chroma, pitch histogram, harmonicity, onset density, tempo, loudness. Preprocessing: fMRIPrep, motion/physio confounds, LSS single-trial betas (canonical HRF + temporal and dispersion derivatives), ROI masks (bilateral Heschl’s gyrus, planum temporale, aSTG/pSTG, MTG, IFG pars triangularis, nucleus accumbens). Baselines: (A) acoustic-only models (acoustic RDMs), (B) text-embedding-only, (C) null intercept. Predictors: music-model semantic embeddings (layerwise, pooled windows), text embeddings (Sentence-BERT or equivalent), acoustic RDMs, behavioral RDMs. Evaluation metrics: Spearman RSA (partial RSA controlling acoustics), noise-ceiling-normalized cross-validated ridge R^2 (outer leave-one-run-out, inner nested CV for alpha), variance partitioning (nonnegative ridge), bootstrap CIs (hierarchical two-way bootstrap sampling subjects and stimuli, ≥5000 resamples), permutation inference Freedman–Lane with subject-level or within-run permutations (≥10,000). Decoding &amp; reconstruction: train ridge decoders from fMRI to predict model embeddings (nested CV), generate audio from predicted embeddings via the model; evaluate reconstruction with log-spectral distance, spectral convergence, and crowdsourced perceptual ratings (congruence to prompt, naturalness). Ablations: (1) no acoustic partialling, (2) canonical HRF only vs FIR-derived HRFs, (3) ridge vs elastic-net vs NNLS in variance partitioning, (4) excluding model-version drift control. Reporting: preregistered primary ROIs/time windows with FWER control (cluster-based searchlights) and separate exploratory analyses.</w:t>
      </w:r>
    </w:p>
    <w:p>
      <w:r>
        <w:t xml:space="preserve"> </w:t>
      </w:r>
    </w:p>
    <w:p>
      <w:pPr>
        <w:pStyle w:val="Heading2"/>
      </w:pPr>
      <w:r>
        <w:t>Risk Factors And Limitations</w:t>
      </w:r>
    </w:p>
    <w:p>
      <w:r>
        <w:t>Low signal-to-noise ratio (SNR) in auditory cortex may yield weak encoding effects and unstable single-trial LSS estimates. HRF misspecification or temporal autocorrelation can bias betas and reduce sensitivity. Acoustic confounds that are not fully captured by chosen features could masquerade as semantic effects. Multicollinearity between acoustic and semantic predictors can make unique variance estimates unreliable under regularization. Model-version drift of generative systems may change embeddings over time and complicate pooling across sessions. Decoding embeddings from fMRI may produce embeddings that the music model cannot meaningfully render, producing low-quality audio. Sample and stimulus choices may limit generalization across languages, musical cultures, and participant training levels. Compute and storage demands for nested CV, large permutation/bootstrap counts, and containerized provenance may be substantial. Ethical constraints and participant consent around synthetic audio sharing may limit open data release.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