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spray_cooling_general_ml_model</w:t>
      </w:r>
    </w:p>
    <w:p>
      <w:r>
        <w:t xml:space="preserve"> </w:t>
      </w:r>
    </w:p>
    <w:p>
      <w:pPr>
        <w:pStyle w:val="Heading2"/>
      </w:pPr>
      <w:r>
        <w:t>Title</w:t>
      </w:r>
    </w:p>
    <w:p>
      <w:r>
        <w:t>A machine-learning-augmented general correlative model for predicting and optimizing thermohydraulic performance of spray cooling systems</w:t>
      </w:r>
    </w:p>
    <w:p>
      <w:r>
        <w:t xml:space="preserve"> </w:t>
      </w:r>
    </w:p>
    <w:p>
      <w:pPr>
        <w:pStyle w:val="Heading2"/>
      </w:pPr>
      <w:r>
        <w:t>Short Hypothesis</w:t>
      </w:r>
    </w:p>
    <w:p>
      <w:r>
        <w:t>Integrating a derived general nondimensional thermal correlation into ensemble machine-learning models trained on aggregated experimental and CFD data reduces probabilistic prediction error (CRPS) for nondimensional heat flux q* by at least 10% versus equivalent ML models trained without the correlation across held-out Re/We/Ja regimes.</w:t>
      </w:r>
    </w:p>
    <w:p>
      <w:r>
        <w:t xml:space="preserve"> </w:t>
      </w:r>
    </w:p>
    <w:p>
      <w:pPr>
        <w:pStyle w:val="Heading2"/>
      </w:pPr>
      <w:r>
        <w:t>Related Work</w:t>
      </w:r>
    </w:p>
    <w:p>
      <w:r>
        <w:t>Prior approaches include (a) empirical nondimensional correlations derived for narrow fluid/spray classes, (b) physics-informed reduced-order models that embed select conservation laws, (c) ML surrogates trained on single-experiment or single‑facility datasets, and (d) CFD augmentation that supplies synthetic cases for ML. Limitations are: empirical correlations do not generalize across fluids, atomization methods, or broad Re/We/Ja ranges; physics-informed models often require case-specific tuning and lack calibrated epistemic uncertainty estimates; ML surrogates trained on limited data overfit and lack interpretable per-feature physics attribution; CFD augmentation introduces domain-gap bias when not explicitly weighted or corrected; and few works jointly decompose aleatoric vs epistemic uncertainty or enforce physics monotonicity (e.g., heat flux increases with mass flux) during ML training. Out‑of‑distribution (OOD) and near‑CHF (critical heat flux) failures are under-tested in existing methods.</w:t>
      </w:r>
    </w:p>
    <w:p>
      <w:r>
        <w:t xml:space="preserve"> </w:t>
      </w:r>
    </w:p>
    <w:p>
      <w:pPr>
        <w:pStyle w:val="Heading2"/>
      </w:pPr>
      <w:r>
        <w:t>Abstract</w:t>
      </w:r>
    </w:p>
    <w:p>
      <w:r>
        <w:t>Spray cooling offers high heat-removal rates but predicting thermal and hydraulic performance across different fluids, atomization types, and operating regimes remains challenging. We propose a general predictive framework that combines a derived nondimensional thermal correlation with machine learning to produce an interpretable, uncertainty-quantified model of spray-cooling thermohydraulics. We aggregate experimental data from prior studies and targeted Phase‑1 experiments, augment sparse regions with validated high-fidelity CFD, and train ensembles of six ML algorithms (including heteroscedastic heads and per-regime Gaussian‑process residuals). The derived correlation is integrated as an explicit feature and as a structural prior. We apply SHAP (SHapley Additive exPlanations) to attribute predictions to physical inputs and to guide constrained optimization of spray parameters. The main contribution is a reproducible hybrid model that improves probabilistic predictive skill and produces actionable, physically consistent design guidance across regimes. Expected outcomes are improved calibrated predictions of nondimensional heat flux q*, explicit uncertainty decomposition, and validated optimization recommendations for spray-cooling system settings.</w:t>
      </w:r>
    </w:p>
    <w:p>
      <w:r>
        <w:t xml:space="preserve"> </w:t>
      </w:r>
    </w:p>
    <w:p>
      <w:pPr>
        <w:pStyle w:val="Heading2"/>
      </w:pPr>
      <w:r>
        <w:t>Experiments</w:t>
      </w:r>
    </w:p>
    <w:p>
      <w:r>
        <w:t>Datasets: (1) aggregated archival dataset from 25 prior studies covering multiple fluids, atomization types, and nondimensional ranges; (2) Phase‑1 experimental campaign of 150–300 unique operating points × 5 replicates each (nondimensional inputs: Re, We, Ja, G*, mass flux m'', contact fraction φ; target: q* nondimensional heat flux); (3) CFD augmentation: ~30 LES/Euler–Lagrange cases producing synthetic features and overlap pairs (mesh 0.05–0.2 mm, Δt 1e−6–1e−5 s). Baselines: (A) empirical general correlation only; (B) ML ensemble without integrated correlation; (C) physics‑informed NN (constrained PDE terms); (D) single deterministic NN; (E) linear regression. Models: six ML algorithms (e.g., gradient-boosted trees, feedforward NNs, monotonic NNs, Bayesian NN, ensemble averages, and GP residual hybrids). Training/evaluation splits: regime-stratified train/val/test; experimental-only holdout; leave-one-regime-out (LORO) for OOD; extreme-bin holdouts (lowest/highest Re/We/Ja). Metrics: mean per-sample heteroscedastic NLL computed on log(q*), CRPS reported nondimensional and converted to W/m2, relative MAE in extreme bins, regime classification F1, calibration (80%/95% interval coverage), and effective sample size (ESS) after importance weighting. Procedure: (1) train baselines and proposed hybrid models on same train set; (2) ablation A: remove general correlation feature; ablation B: remove CFD augmentation; ablation C: disable monotonicity constraints; ablation D: vary ensemble size (4,8,16) and GP per-regime vs global; (3) domain-adaptation ablations: importance-weight caps ∈{1,3,5,10}, compare stabilized vs truncated vs clipped weights, record ESS and validation MSE; (4) OOD stress tests: adversarial perturbations sampled from CFD ensemble distributions and worst-case shifts; (5) compute SHAP explanations and run constrained local optimization to propose optimal m'', ΔT, and atomization parameters; (6) report full distributions of CRPS, NLL, MAE (not only means) across regimes. Compute budget notes: reserve 500–1500 GPU hours for ML training and ~60k CPU-core hours for CFD augmentation.</w:t>
      </w:r>
    </w:p>
    <w:p>
      <w:r>
        <w:t xml:space="preserve"> </w:t>
      </w:r>
    </w:p>
    <w:p>
      <w:pPr>
        <w:pStyle w:val="Heading2"/>
      </w:pPr>
      <w:r>
        <w:t>Risk Factors And Limitations</w:t>
      </w:r>
    </w:p>
    <w:p>
      <w:r>
        <w:t>Technical failure modes: learned correlation may be biased by archival data heterogeneity, causing systematic errors; importance-weighted CFD augmentation may over- or under-correct domain gaps and inflate variance. Data/evaluation biases: archival studies vary in instrumentation and co-registration quality, producing nonuniform noise and label bias. OOD/generalization limits: model may fail near unobserved CHF physics or on fluids and surface chemistries outside training support. Scalability/compute limits: per-regime GP residuals and large ensembles increase GPU and memory cost and may be infeasible under tight budgets. Identifiability limits: separating aleatoric vs epistemic uncertainty may be confounded when regime overlap is sparse. Measurement limits: IR and thermocouple spatial/temporal resolution and calibration errors propagate into targets and degrade calibration metrics. Governance limits: reproducibility depends on complete archival metadata; missing provenance reduces auditability.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