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bev_cross_platform_consistency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Mid-level BEV cross-attention fusion with probabilistic uncertainty propagation for consistent cooperative perception between connected autonomous vehicles and unmanned aerial vehicles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mid-level bird's-eye-view (BEV) cross-attention fusion transformer with calibrated per-detection covariance propagation will reduce cross-platform BEV inconsistency (increase Weighted BEV Consistency Score) and lower safety-relevant failures under realistic communication impairments compared to late-fusion and early-alignment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deep learning for vehicle and aerial perception, BEV (bird's-eye-view) representations for unified scene layouts, and attention-based fusion for multi-sensor inputs. Probabilistic fusion methods (Kalman filters, factor graphs) provide uncertainty-aware tracking, and simulators enable large-scale synthetic pretraining. Limitations include: (1) most BEV transformers do not expose calibrated uncertainty through nonlinear layers, making downstream safety use difficult; (2) cross-platform (CAV–UAV) cooperative perception evaluations lack standardized, interpretable consistency metrics and statistical rigor; (3) public paired ground–air datasets at scale are scarce, hindering sim-to-real validation; (4) evaluations often ignore realistic communication tails (latency/packet-loss) and cryptographic overhead; (5) formal verification and runtime-assurance rarely accept probabilistic perception envelopes directly. These gaps limit certifiable, reproducible assessment of cooperative BEV fusion.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reliable cooperative perception between connected autonomous vehicles (CAVs) and unmanned aerial vehicles (UAVs) by combining mid-level BEV (bird's-eye-view) cross-attention fusion with explicit uncertainty propagation. BEV is a top-down scene view that unifies sensors across platforms. Our approach augments a BEV transformer fusion backbone with per-detection covariance estimates and a propagation pipeline that produces calibrated mean-and-covariance BEV outputs consumable by planners and runtime-assurance (RTA) modules. Main contributions are: (1) a paired, reproducible evaluation using a Weighted BEV Consistency Score (WBCS) that quantifies geometric, temporal, and semantic agreement across platforms; (2) an uncertainty-flow design that preserves calibration through nonlinear fusion or via Monte Carlo validation when analytic Jacobians are infeasible; and (3) canonical experiments under realistic communication impairments and hardware constraints. Expected outcome: demonstrable improvement in cross-platform consistency and measurable reduction in safety-relevant failure proxies while producing reproducible artifacts for certification-oriented evaluation.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paired CAV+UAV dataset (200 hours paired, 300 hours unpaired synthetic diversity) for training; validation on a held-out synthetic set; real-world GT set of 10–20 paired scenes per environment for sim-to-real checks. Baselines: (A) late-fusion (per-modality encoders then merge), (B) early geometric-alignment + late fusion, (C) mid-level cross-attention without uncertainty propagation, (D) proposed mid-level cross-attention with calibrated uncertainty propagation. Model and training: camera encoder ResNet-50 or ViT-Tiny, LiDAR backbone (SECOND/Minkowski), radar encoder; BEV transformer 12 layers, hidden dim 256; AdamW lr=1e-4, wd=1e-2, batch 16, 200k iterations. Compute target: ~4k A100 hours per canonical baseline. Metrics: Weighted BEV Consistency Score (WBCS) composed of geometric alignment (mean BEV center error normalized to d_norm=10 m), temporal coherence (track IoU over 1–5 s), semantic agreement (per-class IoU); AP3D/AMOTA for detection/tracking; latency (p50/p95/p99) end-to-end perception→planner; safety proxies: collision rate in simulation, RTA overrides per 1k trials. Experimental setup: inject communication impairment profiles (latency distributions, correlated PLR) and cryptographic overhead (Ed25519 signing) on Orin NX-class embedded GPU; run 3 random seeds per config; bootstrap 95% CIs; paired t-test or Wilcoxon with preregistered mixed-effect model (scene random effect) and power analysis targeting effect size d=0.2. Ablations: (1) remove cross-attention, (2) use diagonal vs full vs low-rank covariance parameterization, (3) vary WBCS weights and d_norm in a sensitivity grid. Reproducibility: provide Docker images, seeded scripts, DVC manifests, canonical checkpoints, and CI toy runs.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Calibration risk: propagating covariances through nonlinear transformer layers may yield miscalibrated uncertainty or require large Monte Carlo budgets. Compute and latency: full covariance or high MC sampling increases memory and runtime, possibly violating edge latency budgets (p95/p99). Communication tails: realistic PLR/latency spikes may force frequent conservative fallbacks, reducing mission utility. Sim-to-real gap: synthetic fidelity limits transferability; 10–20 real scenes may be insufficient for complex domains. Metric sensitivity: WBCS normalization and per-class weighting choices change priorities and may bias optimization toward or away from rare but critical classes. Formal verification conservatism: converting probabilistic envelopes to conservative sets (intervals/zonotopes) can be overly conservative, limiting system performance. Data and privacy: collecting paired ground–air real data faces regulatory, privacy, and annotation-cost constraints. Scalability: training and verification pipelines require substantial compute and coordinated engineering across teams, limiting rapid iteration.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