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llm_abm_validation_review</w:t>
      </w:r>
    </w:p>
    <w:p>
      <w:r>
        <w:t xml:space="preserve"> </w:t>
      </w:r>
    </w:p>
    <w:p>
      <w:pPr>
        <w:pStyle w:val="Heading2"/>
      </w:pPr>
      <w:r>
        <w:t>Title</w:t>
      </w:r>
    </w:p>
    <w:p>
      <w:r>
        <w:t>Systematic review and validation framework for large-language-model-driven agent-based social simulations</w:t>
      </w:r>
    </w:p>
    <w:p>
      <w:r>
        <w:t xml:space="preserve"> </w:t>
      </w:r>
    </w:p>
    <w:p>
      <w:pPr>
        <w:pStyle w:val="Heading2"/>
      </w:pPr>
      <w:r>
        <w:t>Short Hypothesis</w:t>
      </w:r>
    </w:p>
    <w:p>
      <w:r>
        <w:t>Applying a prespecified validation pipeline (canonical benchmarks, strict JSON parsing, ensemble runs, and calibration) causes LLM-driven agent-based simulations to reduce distributional error against empirical benchmarks by at least 10% relative to non-LLM baseline models on macro-level metrics.</w:t>
      </w:r>
    </w:p>
    <w:p>
      <w:r>
        <w:t xml:space="preserve"> </w:t>
      </w:r>
    </w:p>
    <w:p>
      <w:pPr>
        <w:pStyle w:val="Heading2"/>
      </w:pPr>
      <w:r>
        <w:t>Related Work</w:t>
      </w:r>
    </w:p>
    <w:p>
      <w:r>
        <w:t>Existing work builds agent-based simulations with generative language models using prompting, fine-tuning on domain data, or hybrid rule-plus-LLM controllers. Prior validation approaches include ad-hoc case studies, posterior predictive checks, and calibration by approximate Bayesian computation. Reported weaknesses are: insufficient empirical grounding (few studies compare to lab or field benchmarks), limited reproducibility (no seed-to-backend registries or persisted token logs), fragile prompt-to-action parsing (high parse-failure and hallucination rates), weak treatment of dependence in samples (ignoring ICC or temporal autocorrelation), and sparse causal identification practices (few machine-readable DAGs or formal identifiability statements). Surrogate replay and audit practices exist in concept but lack standardized fidelity tests. In sum, methods show promise for realism but have unresolved issues in calibration rigor, repeatable parsing, causal claims, dependence-aware inference, and operational governance.</w:t>
      </w:r>
    </w:p>
    <w:p>
      <w:r>
        <w:t xml:space="preserve"> </w:t>
      </w:r>
    </w:p>
    <w:p>
      <w:pPr>
        <w:pStyle w:val="Heading2"/>
      </w:pPr>
      <w:r>
        <w:t>Abstract</w:t>
      </w:r>
    </w:p>
    <w:p>
      <w:r>
        <w:t>Validation is the central challenge for generative social simulation that uses large language models (LLMs) as autonomous agents. We perform a focused systematic review of emerging LLM-driven agent-based models to map application domains, catalog reported validation practices, and assess their alignment with stated modeling goals. Building on this review, we define a reproducible validation pipeline: three canonical benchmarks (public goods, negotiation, dialogue), strict machine-readable output schemas, ensemble-based uncertainty estimation, and calibration using ABC-SMC or simulated-methods-of-moments with surrogate models. The main contribution is an operational validation specification that ties quantitative acceptance criteria (micro/meso/macro), power/sample-size targets, parser/fallback rules, causal-DAG artifacts, and CI-gated governance checks into a single reproducible package. Expected outcomes are clearer standards for empirical grounding, quantitative decision rules for acceptance or remediation, and artifact templates (schemas, notebooks, minimal container) that enable auditable experiments and community replication.</w:t>
      </w:r>
    </w:p>
    <w:p>
      <w:r>
        <w:t xml:space="preserve"> </w:t>
      </w:r>
    </w:p>
    <w:p>
      <w:pPr>
        <w:pStyle w:val="Heading2"/>
      </w:pPr>
      <w:r>
        <w:t>Experiments</w:t>
      </w:r>
    </w:p>
    <w:p>
      <w:r>
        <w:t>Datasets: (1) repeated public-goods lab data (canonical experimental-economics sequences); (2) ANAC-style multi-issue negotiation logs; (3) DailyDialog for conversational coordination. Baselines: (A) non-LLM agent-based controllers (rule-based formal policies); (B) fine-tuned LLM variants with no strict parsing; (C) LLM with strict JSON-schema parsing and deterministic decoding. Metrics: Micro-level: action classification F1 (target ≥0.80), parse-failure rate (target ≤2%), hallucination rate (target ≤3%); Meso-level: motif frequency deviation (accept if within ±2σ), bootstrap CI width ≤10%; Macro-level: Earth-Mover’s Distance (EMD) relative improvement ≥10% vs non-LLM baseline, Dynamic Time Warping (DTW) series similarity improvement ≥10%; Uncertainty: SBC/posterior-coverage (95% nominal coverage ±0.05), rank-histogram p-value&gt;0.05. Experimental setup (public goods exemplar): group size N=5, rounds=10, contributions c∈{0..10}, payoff = 10 − c + 1.6*(Σ c)/N; ensemble runs = 200 per condition; seeds recorded in registry; constrained decoding where possible (temperature=0); parser: strict JSON Schema with additionalProperties=false; retries up to 3 then deterministic fallback. Calibration: ABC-SMC or SMM with summary vector S=[mean_round1, mean_roundT, decay_rate, motif_freqs]; surrogate = Gaussian Process (GP) with 10-fold CV and 20% holdout for validation. Ablations: (i) strict vs permissive parsing; (ii) deterministic decoding vs stochastic decoding (temperature 0 vs 0.7); (iii) surrogate model choice (GP vs random forest); (iv) local checkpoint runs vs external API runs. Statistical tests: ensure ≈392 independent agent-observations per condition for micro effects and ≈200 independent networks or ensemble runs for meso/macro inference; report power curves and sensitivity to ICC and AR(1) temporal correlation.</w:t>
      </w:r>
    </w:p>
    <w:p>
      <w:r>
        <w:t xml:space="preserve"> </w:t>
      </w:r>
    </w:p>
    <w:p>
      <w:pPr>
        <w:pStyle w:val="Heading2"/>
      </w:pPr>
      <w:r>
        <w:t>Risk Factors And Limitations</w:t>
      </w:r>
    </w:p>
    <w:p>
      <w:r>
        <w:t>Technical non-determinism: hosted LLM APIs may produce variable outputs; full reproducibility may require local checkpoints or persisted token streams. Surrogate fidelity risk: proxies trained on saved tokens can diverge; need quantitative fidelity checks (token KL, embedding similarity, downstream parity). Data and licensing: lab datasets and dialog corpora may have usage or privacy restrictions; curation and de-identification constraints limit coverage. Parser and hallucination failures: strict schemas can reduce valid responses and increase fallbacks, biasing behavior toward deterministic rules. Compute and cost: ensemble runs (≈200) and surrogate training require substantial GPU-hours and token/API cost; storage needs for token logs can be large. Dependence and identifiability limits: clustered groups and temporal autocorrelation reduce effective sample size; causal claims may be non-identifiable without strong assumptions. Generalization limits: validated behaviors on canonical benchmarks may not transfer to other social contexts or demographic groups. Governance and privacy: storing token streams has re-identification risk and requires strong access controls or differential-privacy measures. These risks constrain scalability, external validity, and the strength of causal inferences.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