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thai_shelter_awp_efa</w:t>
      </w:r>
    </w:p>
    <w:p>
      <w:r>
        <w:t xml:space="preserve"> </w:t>
      </w:r>
    </w:p>
    <w:p>
      <w:pPr>
        <w:pStyle w:val="Heading2"/>
      </w:pPr>
      <w:r>
        <w:t>Title</w:t>
      </w:r>
    </w:p>
    <w:p>
      <w:r>
        <w:t>Exploratory factor analysis validation of a culturally adapted Assessment of Work Performance for adults with mental-health-related disabilities in Thai homeless shelters</w:t>
      </w:r>
    </w:p>
    <w:p>
      <w:r>
        <w:t xml:space="preserve"> </w:t>
      </w:r>
    </w:p>
    <w:p>
      <w:pPr>
        <w:pStyle w:val="Heading2"/>
      </w:pPr>
      <w:r>
        <w:t>Short Hypothesis</w:t>
      </w:r>
    </w:p>
    <w:p>
      <w:r>
        <w:t>The culturally adapted AWP administered in Thai homeless shelters will produce a stable factor structure with at least three factors whose regression factor scores explain at least 30% of variance in task-based work-performance ratings.</w:t>
      </w:r>
    </w:p>
    <w:p>
      <w:r>
        <w:t xml:space="preserve"> </w:t>
      </w:r>
    </w:p>
    <w:p>
      <w:pPr>
        <w:pStyle w:val="Heading2"/>
      </w:pPr>
      <w:r>
        <w:t>Related Work</w:t>
      </w:r>
    </w:p>
    <w:p>
      <w:r>
        <w:t>Work-performance assessments have been adapted from clinician-rated and self-report instruments to measure occupational skills for people with mental-health-related disabilities. Common approaches use exploratory factor analysis (EFA) and confirmatory factor analysis (CFA) to identify latent skill domains and then apply item response theory (IRT) to refine items. Prior studies often ignore clustering by site (shelter) or use single-level analyses, leading to biased SEs when intra-class correlation (ICC) is nontrivial. Cross-cultural adaptations frequently report translation steps but lack pre-registered decision rules, quantitative content-validity thresholds, or robust invariance testing across role and region. DIF (differential item functioning) analyses have been applied inconsistently and typically require larger samples than collected. Missing-data handling is variably applied, with many studies relying on complete-case analysis rather than multilevel-aware multiple imputation. Method-bias (social desirability, response styles) is rarely integrated with latent-method modeling. These limitations reduce reproducibility, hamper fair subgroup comparisons, and limit actionable guidance for allied-health planning.</w:t>
      </w:r>
    </w:p>
    <w:p>
      <w:r>
        <w:t xml:space="preserve"> </w:t>
      </w:r>
    </w:p>
    <w:p>
      <w:pPr>
        <w:pStyle w:val="Heading2"/>
      </w:pPr>
      <w:r>
        <w:t>Abstract</w:t>
      </w:r>
    </w:p>
    <w:p>
      <w:r>
        <w:t>This study validates a culturally adapted Assessment of Work Performance (AWP) for adults with mental-health-related disabilities living in Thai government-operated homeless shelters. We apply exploratory factor analysis (EFA) on ordinal task-based ratings to discover latent functional-skill domains and use confirmatory factor analysis (CFA) and multilevel methods to test replicability across staff role and region. Key features include pre-specified item-retention rules, translation and cognitive-testing stop/go criteria, multilevel-aware multiple imputation for missing ordinal data, and IRT-based DIF screening (graded response model). The main contribution is a transparent, reproducible pipeline that yields a psychometrically defensible instrument (factor structure, reliability, and invariance rules) to inform allied-health rehabilitation planning. Expected outcomes are: (1) a validated Thai AWP with a clear factor solution, (2) documented measurement properties including reliability and invariance, and (3) annotated code and a bilingual manual to support scale use in shelters. The work supports evidence-based service planning by producing interpretable factor scores that link observed task deficits to rehabilitation priorities.</w:t>
      </w:r>
    </w:p>
    <w:p>
      <w:r>
        <w:t xml:space="preserve"> </w:t>
      </w:r>
    </w:p>
    <w:p>
      <w:pPr>
        <w:pStyle w:val="Heading2"/>
      </w:pPr>
      <w:r>
        <w:t>Experiments</w:t>
      </w:r>
    </w:p>
    <w:p>
      <w:r>
        <w:t>Datasets: (A) Cognitive interviews n=10-15 diverse shelter staff per region for translation checks. (B) Pilot survey n=250-350 stratified by role and region to estimate ICCs and finalize DEFF. (C) Full validation sample target nominal N≥400 with ≥30 clusters (prefer ≥50) and stratified sampling to preserve role×region balance; split 50/50 for EFA/CFA if nominal N≥400, otherwise EFA-only for 200–399. Baselines: (1) unadapted translated AWP scored single-level, (2) single-level EFA/CFA ignoring clustering, (3) reduced-item scales based on item-total heuristics. Evaluation metrics: KMO (Kaiser-Meyer-Olkin) and Bartlett’s test for factorability; parallel analysis and Velicer MAP for factor retention; factor loadings (retain ≥0.40), communalities (≥0.30), cross-loading gap (≥0.20), % variance explained (target ≥30%), Cronbach’s alpha and McDonald’s omega for reliability, ICCs for clustering, CFA fit indices: CFI/TLI (≥0.95 good, ≥0.90 acceptable), RMSEA (&lt;0.06 good, &lt;0.08 acceptable), SRMR (&lt;0.08), ΔCFI ≤0.01 and ΔRMSEA ≤0.015 for invariance steps; ESEM adoption if mean non-target cross-loading &gt;0.15. IRT/GRM: estimate discrimination and threshold parameters (software mirt); DIF detection via IRT likelihood-ratio tests with Benjamini–Hochberg correction and effect-size flag (ΔR2 &gt;0.02 or expected-score shift &gt;0.25 SD). Missing data: multilevel-aware MI (jomo or mice multilevel) with m=20 (increase to 40–50 if missingness &gt;20%); diagnostics: trace plots, fraction of missing information. Test–retest: n=100 over 10–14 days, ICC(2,1) target ≥0.70. Analyses: EFA on polychoric correlations using principal axis factoring (PAF) and Promax/geomin rotation; CFA with WLSMV (ordinal data) or robust ML where appropriate; multilevel EFA/CFA in Mplus if mean ICC&gt;0.05 and clusters≥30 (TYPE=TWOLEVEL). Ablations: compare single-level vs multilevel EFA/CFA; compare regression factor scores vs Bartlett scores; compare inclusion vs exclusion of social-desirability marker in latent-method models. Power and sensitivity: Monte Carlo simulations varying number of factors, average loadings (0.4–0.7), ICCs (0.01–0.10), cluster sizes (m=10–25), and total clusters (30–50) to produce required nominal N for stable parameter recovery and invariance testing.</w:t>
      </w:r>
    </w:p>
    <w:p>
      <w:r>
        <w:t xml:space="preserve"> </w:t>
      </w:r>
    </w:p>
    <w:p>
      <w:pPr>
        <w:pStyle w:val="Heading2"/>
      </w:pPr>
      <w:r>
        <w:t>Risk Factors And Limitations</w:t>
      </w:r>
    </w:p>
    <w:p>
      <w:r>
        <w:t>Sampling and clustering: insufficient clusters or small per-cluster counts reduce multilevel model stability and between-cluster estimates. Small subgroup Ns (&lt;80) limit valid invariance testing and DIF detection. Response bias: social desirability, acquiescence, and careless responding can distort factor structure and inflate reliability. Missing-data assumptions: MAR (missing at random) may fail; MNAR (missing not at random) would bias imputation-based estimates. IRT/DIF power: GRM and DIF analyses require large samples (ideally ≥300–500); underpowered IRT yields unstable item parameters. Translation limits: regional dialects or low literacy may produce misunderstood items despite cognitive testing. Estimator limits: WLSMV requires adequate category counts and sample size; sparse response categories may force category collapsing and change item properties. Generalizability: validated scale will be specific to Thai government shelters and adults with mental-health-related disabilities and may not generalize to non-government shelters or other countries. Operational: recruitment delays, ethical constraints, or COVID-like disruptions can reduce achieved sample and compromise planned splits and invariance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