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rural_ea_fb_smart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Two-stage SMART mixed-methods development and pilot test of a Facebook-delivered web intervention to reduce tobacco use and increase HPV vaccination among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Facebook-delivered, co-created two-stage SMART intervention that sequences tobacco-first versus HPV-first messaging and re-randomizes non-responders to motivational interviewing plus contingency management will produce higher 12-week tobacco abstinence and higher HPV vaccine initiation than the alternative sequencing and escalation strategy.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includes web- and social-media–delivered behavior-change programs, motivational interviewing (MI) and contingency management (CM) for tobacco cessation, HPV vaccination outreach, and adaptive trial designs (SMART) in behavioral health. Limitations: most digital programs address single behaviors rather than multiple cancer-risk behaviors; few use adaptive randomized sequencing to test order effects; many studies lack community co-creation for rural populations and do not verify outcomes with biochemical or EHR confirmation; typical samples are urban or convenience samples limiting rural generalizability; small sample sizes and absence of pre-specified simulation/code repositories reduce reproducibility; and prior adaptive-policy estimation methods (like Q-learning) are under-tested in small-sample SMART pilots, producing unstable policy estimates.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have high exposure to multiple cancer risk factors and face access barriers to prevention. We propose a co-created, theory-driven web intervention delivered via private Facebook groups and evaluated in a two-stage SMART pilot (sequential multiple assignment randomized trial). Stage 1 randomizes participants to tobacco-first or HPV-first digital pathways; at 4 weeks non-responders are re-randomized to either MI-style coaching plus contingency management (CM) or logistical facilitation (appointment/transport reminders). The approach integrates mixed methods: formative qualitative work to co-design content, versioned JSON decision rules to implement tailoring, and a pre-registered statistical analysis and simulation plan. Main contributions are (1) testing sequencing effects for multi-behavior change in a rural emerging adult sample, (2) operationalizing reproducible adaptive decision rules and verification workflows (saliva cotinine and EHR checks), and (3) producing usable fidelity, usability, and governance artifacts. Expected outcome: feasibility data and preliminary effect estimates to inform a definitive adaptive trial. (SMART = adaptive randomized design; MI = motivational interviewing; CM = financial incentives.)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Population and sample: N=120 rural emerging adults (ages 18–25) recruited across 3–4 rural sites; stratify enrollment by site, baseline TTM stage (precontemplation/contemplation vs preparation/action), and baseline tobacco/NRT use. Randomization: Stage-1 1:1 to tobacco-first vs HPV-first digital pathways. Stage-2 at 4 weeks: classify responders vs non-responders using pre-specified thresholds (tobacco responder = ≥50% reduction in cigarettes/day OR self-reported 7-day abstinence; HPV responder = appointment scheduled OR vaccine received). Non-responders re-randomized 1:1 to (A) MI-style coaching + contingency management (CM) or (B) logistical facilitation (scheduling/transport+reminders). Data collection: baseline, 4 weeks, 12 weeks primary endpoint, and 6 months HPV completion check. Verification: random subsample (~50%) of self-reported tobacco abstinence receives mailed saliva cotinine kits (cotinine = nicotine metabolite) and CO breath monitoring for non-NRT users; HPV initiation verified via EHR query (signed release) or clinic photo plus confirmation. Baselines and measures: retention, median module completion, AIM acceptability score, SUS usability, tobacco 7-day point-prevalence abstinence (binary), cigarettes/day (continuous), documented HPV vaccine initiation (binary), TTM stage, COM-B barrier scores (capability/opportunity/motivation). Evaluation metrics: feasibility (retention ≥70%), acceptability (mean ≥4/5), biochemically-verified abstinence proportion, verified HPV initiation proportion, changes in COM-B and cigarettes/day. Analysis plan: primary estimation via mixed-effects models (random intercepts for participant and site) for time×arm contrasts; sensitivity with GEE and multiple imputation for missing data; Q-learning (sequential regression) as secondary analysis to estimate adaptive policies. Baselines for comparison: Stage-1 contrast (tobacco-first vs HPV-first) and Stage-2 contrast (MI+CM vs logistical facilitation) among non-responders. Ablation study: compare outcomes by augmentation type (MI+CM vs logistical facilitation) and by biochemical verification status (verified vs unverified) to assess robustness. Pre-registration and reproducibility: archive seeded simulation code, decision-tree JSON, and SAP in a single repository with a release tag.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Recruitment and retention: difficulty enrolling representative rural subgroups (tribal, migrant workers, non-English speakers) and meeting ≥70% retention. Connectivity/usability: Facebook/private group delivery may be limited by low-bandwidth or platform changes. Verification logistics and cost: mailed cotinine kits, CO monitors, and EHR DUAs can be delayed or expensive; cotinine is confounded by NRT (nicotine replacement therapy) and requires adjudication rules. Small cell sizes: with N=120, per-cell sample sizes (≈30) may produce unstable Q-learning estimates (high variance and bias). Contamination: participants in shared communities may cross-expose content across arms within Facebook groups. Measurement bias: self-reported outcomes may be inaccurate if verification is incomplete. Tribal governance: tribal IRB/approval and DUA timelines can delay EHR verification and restrict data flows. Ethical and incentive risks: contingency management incentives must avoid coercion and require IRB review. Generalizability: results from a rural emerging adult pilot may not generalize to other age groups, urban populations, or different social platforms.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