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a2ar_cp_csf_hydrocephalus</w:t>
      </w:r>
    </w:p>
    <w:p>
      <w:r>
        <w:t xml:space="preserve"> </w:t>
      </w:r>
    </w:p>
    <w:p>
      <w:pPr>
        <w:pStyle w:val="Heading2"/>
      </w:pPr>
      <w:r>
        <w:t>Title</w:t>
      </w:r>
    </w:p>
    <w:p>
      <w:r>
        <w:t>Mechanistic and translational evaluation of adenosine A2A receptor signaling in the choroid plexus for cerebrospinal fluid hypersecretion and ventriculomegaly using molecular, imaging, and pharmacologic interventions</w:t>
      </w:r>
    </w:p>
    <w:p>
      <w:r>
        <w:t xml:space="preserve"> </w:t>
      </w:r>
    </w:p>
    <w:p>
      <w:pPr>
        <w:pStyle w:val="Heading2"/>
      </w:pPr>
      <w:r>
        <w:t>Short Hypothesis</w:t>
      </w:r>
    </w:p>
    <w:p>
      <w:r>
        <w:t>Pathologic activation of adenosine A2A receptors (A2AR) in choroid plexus epithelial cells causally increases CSF secretion and ventricular volume via PI3K/AKT-dependent SPAK phosphorylation and NF-κB-mediated upregulation of ATP1A2, and selective A2AR antagonism (istradefylline) prevents these effects.</w:t>
      </w:r>
    </w:p>
    <w:p>
      <w:r>
        <w:t xml:space="preserve"> </w:t>
      </w:r>
    </w:p>
    <w:p>
      <w:pPr>
        <w:pStyle w:val="Heading2"/>
      </w:pPr>
      <w:r>
        <w:t>Related Work</w:t>
      </w:r>
    </w:p>
    <w:p>
      <w:r>
        <w:t>Prior work links purinergic signaling and A2AR to brain fluid balance and identifies NKCC1 and AQP1 as CP transporters that can change CSF production. Imaging studies have correlated ventricular enlargement with altered CSF flow and, separately, PET tracers have measured A2AR in brain regions. Molecular studies implicate SPAK/OSR1 and NF-κB in transporter regulation. Limitations across existing approaches include: (1) few studies use CP-restricted, adult-onset genetic tools to establish cell-autonomous causation; (2) temporal signaling cascades (cAMP → PKA → SPAK → NKCC1/AQP1) are not resolved with matching functional assays; (3) many pharmacologic pathway tests rely on nonspecific inhibitors (for example, H89) with off-target effects; (4) PET measurement of CP is confounded by partial-volume effects and CSF spill-in and lacks systematic autoradiography concordance; (5) microdialysis and adenosine quantitation methods often lack validated LLOQ/recovery metrics in CP contexts. These gaps prevent rigorous causal, translational inference and clear therapeutic prioritization.</w:t>
      </w:r>
    </w:p>
    <w:p>
      <w:r>
        <w:t xml:space="preserve"> </w:t>
      </w:r>
    </w:p>
    <w:p>
      <w:pPr>
        <w:pStyle w:val="Heading2"/>
      </w:pPr>
      <w:r>
        <w:t>Abstract</w:t>
      </w:r>
    </w:p>
    <w:p>
      <w:r>
        <w:t>Hydrocephalus commonly involves pathological enlargement of brain ventricles due to excessive cerebrospinal fluid (CSF). This project tests whether aberrant adenosine A2A receptor (A2AR) signaling in the choroid plexus (CP) epithelium drives CSF hypersecretion and ventriculomegaly via two parallel mechanisms: (1) a PI3K/AKT→SPAK phosphorylation cascade that activates NKCC1-mediated ion transport (NKCC1 is a sodium-potassium-chloride cotransporter), and (2) NF-κB-driven transcriptional upregulation of ATP1A2 (the Na+/K+ pump alpha2). We will combine CP-restricted inducible genetics, live-cell biosensors, phosphoproteomics, functional transport assays (Rb+ uptake for NKCC1; AQP1 surface assays for water channels), microdialysis-LC-MS for adenosine, high-field MRI/4D-flow and PET autoradiography, and pharmacologic rescue with istradefylline (an FDA-approved A2AR antagonist). The main contribution is a multilayered causal map linking receptor signaling to measurable CSF flux and ventricular change, plus preclinical pharmacodynamic evidence for repurposing istradefylline. Expected outcome: validated causal pathways, quantitative effect sizes for CSF production and ventricle growth, and go/no-go criteria for translation to human studies.</w:t>
      </w:r>
    </w:p>
    <w:p>
      <w:r>
        <w:t xml:space="preserve"> </w:t>
      </w:r>
    </w:p>
    <w:p>
      <w:pPr>
        <w:pStyle w:val="Heading2"/>
      </w:pPr>
      <w:r>
        <w:t>Experiments</w:t>
      </w:r>
    </w:p>
    <w:p>
      <w:r>
        <w:t>Datasets: (1) Rodent models: kaolin-induced communicating hydrocephalus in rats (50–100 μL 20–25% kaolin, cisterna magna) and mice (10–20 μL 20% kaolin), and Ttr-CreER × A2ARflox adult-induced mice (tamoxifen &gt;P60). (2) Acute CP perturbation: intraventricular AAV2/5 or AAV9 carrying shRNA/CRISPR and CRISPR-resistant human A2AR rescue. (3) Ex vivo/in vitro: primary CP epithelial cultures, acute CP slices, and human CP tissue from neurosurgical resections. (4) Imaging: longitudinal high-field MRI (structural + 4D flow) and PET with candidate tracers ([11C]SCH442416, [18F]MNI-444) plus ex vivo autoradiography. Baselines and controls: vehicle, A2AR global KO, CP-restricted A2AR KO, istradefylline treatment (systemic and intraventricular), bumetanide (NKCC1 blocker), PKA genetic inhibition (PKI peptide via AAV or inducible dominant-negative PKA), SPAK inhibitor, NKCC1 and AQP1 knockdown. Evaluation metrics: primary—ventricular volume change (%) by MRI; CSF production rate (μL/min) via ventriculo-cisternal perfusion; intracranial pressure (ICP, mmHg) telemetry. Secondary—Rb+ uptake (% change vs baseline; surrogate for NKCC1 flux), NKCC1 phosphorylation fold change (phospho/total densitometry), AQP1 surface fraction (%), CP adenosine concentration (nM; microdialysis LLOQ target ≤1 nM), PET CP receptor occupancy (%), and behavioral/neurologic score. Minimum biologically meaningful effect sizes for powering: ventricular volume ≥25% relative change, Rb+ uptake ≥30% change, ICP ≥3 mmHg change, NKCC1 phospho ≥1.5-fold, AQP1 surface change ≥25%. Sample sizes (provisional): Rb+ uptake n=8/group (80% power), ventricle MRI n=12/group, ICP telemetry n=10/group; finalize after week-6 pilot SD upload. Experimental setup: randomize animals to groups with block randomization stratified by early MRI severity; blind outcome assessors and imaging analysts; preregister analysis code and SAP. Time course for signaling: 0, 1, 5, 15, 30, 60, 240 min and 24 h post-A2AR modulation for cAMP (measured by FRET biosensor; FRET = fluorescence resonance energy transfer, a real-time sensor of small molecules), PKA activity, phospho-SPAK/OSR1, and NKCC1 phospho; functional Rb+/Ussing and AQP1 assays at 15 min, 60 min, 240 min, 24 h. Statistical analysis: mixed-effects models for longitudinal MRI/ICP, ANOVA with post-hoc tests for acute assays, correction for multiplicity (FDR for omics, Bonferroni for primary endpoints). Ablation and comparisons: (A) istradefylline vs vehicle vs NKCC1 blockade to dissociate receptor vs transporter rescue; (B) genetic PKA inhibition (PKI peptide or inducible dominant-negative) vs H89 to test specificity of PKA involvement; (C) SPAK inhibition and SPAK knockdown to test pathway branch; (D) PET in vivo occupancy vs ex vivo autoradiography concordance (require Pearson r ≥0.75 across CP ROIs) and partial-volume-corrected vs uncorrected PET to assess spill-in. Predefined acceptance criteria for assays: microdialysis recovery ≥30% in vitro at 0.3 μL/min, LC-MS LLOQ ≤1 nM, Rb+ assay intra/inter-assay CV ≤15%, phospho-antibody KO signal loss ≥90% and peptide block ≥80%, AQP1 trafficking linearity R2&gt;0.98 and intra/inter-assay CV ≤15%.</w:t>
      </w:r>
    </w:p>
    <w:p>
      <w:r>
        <w:t xml:space="preserve"> </w:t>
      </w:r>
    </w:p>
    <w:p>
      <w:pPr>
        <w:pStyle w:val="Heading2"/>
      </w:pPr>
      <w:r>
        <w:t>Risk Factors And Limitations</w:t>
      </w:r>
    </w:p>
    <w:p>
      <w:r>
        <w:t>Technical failures: PET radioligand synthesis or low CP signal (partial-volume effects: small CP regions mix with CSF signal) may prevent reliable in vivo occupancy; autoradiography fallback may be slower. Antibody specificity: phospho-antibodies may lack required KO validation causing false phospho-signals. Microdialysis limitations: low recovery or adenosine degradation may produce concentrations below LLOQ. Pharmacology confounds: H89 is nonspecific (affects other kinases); genetic PKA tools (PKI peptide or inducible dominant-negative) require efficient CP delivery and temporal control. Model translation: kaolin model and rodents may not fully recapitulate human CP pathology or pediatric hydrocephalus. Anesthesia and physiology effects: anesthetic regimens alter CSF dynamics and can bias measurements. Sample size and variance: higher-than-expected variability in MRI or Rb+ assays can underpower endpoints. Off-target systems: ENT/CNT nucleoside transporters and metabolic enzymes (ADA/ADK) may compensate and confound adenosine manipulations. Computational model limits: priors and limited out-of-sample human data reduce confidence of forward predictions. Ethical and logistical constraints: human CP tissue access and GLP-like chronic toxicology resources may be delayed. These risks constrain immediate generalizability and require empirical resolution in pilot phases.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