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iot_healthcare_meta_review</w:t>
      </w:r>
    </w:p>
    <w:p>
      <w:r>
        <w:t xml:space="preserve"> </w:t>
      </w:r>
    </w:p>
    <w:p>
      <w:pPr>
        <w:pStyle w:val="Heading2"/>
      </w:pPr>
      <w:r>
        <w:t>Title</w:t>
      </w:r>
    </w:p>
    <w:p>
      <w:r>
        <w:t>Weighted and meta-analytical review of theoretical frameworks and predictors of Internet of Things adoption in health care</w:t>
      </w:r>
    </w:p>
    <w:p>
      <w:r>
        <w:t xml:space="preserve"> </w:t>
      </w:r>
    </w:p>
    <w:p>
      <w:pPr>
        <w:pStyle w:val="Heading2"/>
      </w:pPr>
      <w:r>
        <w:t>Short Hypothesis</w:t>
      </w:r>
    </w:p>
    <w:p>
      <w:r>
        <w:t>Across quantitative studies, greater perceived usefulness and stronger facilitating conditions (measured at the individual or organizational level) are associated with larger effect sizes for IoT adoption in health care (behavioral intention or objective use).</w:t>
      </w:r>
    </w:p>
    <w:p>
      <w:r>
        <w:t xml:space="preserve"> </w:t>
      </w:r>
    </w:p>
    <w:p>
      <w:pPr>
        <w:pStyle w:val="Heading2"/>
      </w:pPr>
      <w:r>
        <w:t>Related Work</w:t>
      </w:r>
    </w:p>
    <w:p>
      <w:r>
        <w:t>Prior empirical syntheses of health‑care IoT adoption show heavy reliance on Technology Acceptance Model (TAM) and UTAUT frameworks and focus on behavioral intention rather than objective use. Existing meta-analytic work is limited by inconsistent operationalization of constructs, mixed effect-size metrics (correlations, odds ratios, standardized betas), frequent use of cross-sectional designs, insufficient handling of dependent effects (multiple outcomes per study), sparse treatment of measurement invariance across languages/countries, and weak incorporation of privacy/regulatory moderators. Publication-bias and small-sample corrections are often omitted or applied inconsistently. NLP and reproducible extraction tools are rarely used at scale, and quality-weighting algorithms and explicit conversion/exclusion rules are typically ad hoc, reducing comparability and translational value. These gaps produce heterogeneous, hard-to-interpret pooled estimates and limit policy-relevant conclusions.</w:t>
      </w:r>
    </w:p>
    <w:p>
      <w:r>
        <w:t xml:space="preserve"> </w:t>
      </w:r>
    </w:p>
    <w:p>
      <w:pPr>
        <w:pStyle w:val="Heading2"/>
      </w:pPr>
      <w:r>
        <w:t>Abstract</w:t>
      </w:r>
    </w:p>
    <w:p>
      <w:r>
        <w:t>We present a preregistered, methods-focused weighted and random-effects meta-analysis to identify theoretical frameworks and key predictors of Internet of Things (IoT) adoption in health care. The study systematically collects peer-reviewed quantitative studies that link psychosocial, technical, and regulatory predictors to adoption outcomes (behavioral intention or objective use). We combine a weight-analysis (frequency and significance mapping) with multilevel meta-analysis (to pool harmonized effect sizes after conversion to Fisher z) and robust variance estimation when within-study covariances are unavailable. The protocol includes a versioned construct codebook, explicit effect-size conversion formulas, imputation rules for missing variances, quality-adjusted weighting, measurement-invariance procedures for cross-language pooling, and pre-specified sensitivity analyses (within-study correlations, bias diagnostics, exclusion thresholds). The main contribution is a transparent, reproducible decision workflow that quantifies which predictors and frameworks most consistently explain IoT adoption in health care and how privacy/regulatory factors moderate those relationships. Expected outcomes are prioritized, evidence-weighted predictor lists, moderator maps, and public protocol/code to inform research and policy.</w:t>
      </w:r>
    </w:p>
    <w:p>
      <w:r>
        <w:t xml:space="preserve"> </w:t>
      </w:r>
    </w:p>
    <w:p>
      <w:pPr>
        <w:pStyle w:val="Heading2"/>
      </w:pPr>
      <w:r>
        <w:t>Experiments</w:t>
      </w:r>
    </w:p>
    <w:p>
      <w:r>
        <w:t>1) Data collection: Systematic database search (PubMed, Scopus, Web of Science, IEEE Xplore, ACM) for peer-reviewed quantitative studies published 2000–2025 using keywords: "IoT health care", "internet of things", "wearable", "remote monitoring", combined with "adoption", "acceptance", "usage", "behavioral intention". Inclusion criteria: quantitative effect between predictor and adoption outcome reported or derivable (correlation r, OR, Cohen's d, β), sample n≥20, human healthcare setting. Pilot screening: 50–100 records. Target corpus: ≥150 studies; minimum analysis corpus: 30 studies for multivariate pooling. 2) Codebook &amp; extraction: Dual independent coding of items to constructs (perceived usefulness, ease of use, trust/privacy, social influence, facilitating conditions, objective safeguards, certification flags, governance); record scale, language, reliability (Cronbach's α). Store as versioned CSV. 3) Effect-size harmonization: Convert metrics to Fisher z using formulas: z=0.5·ln((1+r)/(1−r)), var(z)=1/(n−3); d→r via r=d/√(d^2+4); ln(OR)→d via d=ln(OR)·√3/π; standardized β→r only when SDs and minimal covariates available. Flag highly adjusted estimates. 4) Primary models: Multilevel random-effects (three-level: effect-size within study within study-cluster) using rma.mv when within-study covariances or item correlations available; RVE (robust variance estimation) with Tipton small-sample correction when covariances unknown and k≥20. Pre-register decision flow: rma.mv primary if covariances provided; else RVE if k≥20; if 10≤k&lt;20 run simulation comparison and report both. 5) Quality-weighting and exclusions: Compute quality score from ROBINS-I/AXIS domains mapped to numeric scale; apply multiplicative weight = 0.5 + 0.5*(score/max_score) for sensitivity; exclude studies with &gt;50% critical-domain high-risk in secondary analyses. 6) Missing variances: derive from SE/t/p/CI when possible; if missing, impute var(z) using pooled median n within predictor–outcome strata and run multiple imputation (m=20) for sensitivity. 7) Moderators and subgroup tests: theoretical framework (TAM/UTAUT/DOI/TPB), outcome type (intention vs objective use), IoT type (wearable/implantable/remote-monitoring), region/language, privacy/regulatory flags, study design. 8) Measurement invariance: multi-group CFA when groups≥200 and items≥3; alignment optimization otherwise; pre-register fit cutoffs (ΔCFI≤0.01, ΔRMSEA≤0.015). 9) Publication-bias and sensitivity: Egger's test and funnel (k≥10), PET‑PEESE, Vevea–Hedges selection models, p-curve; compute E-values for confounding and leave-one-design-out analyses. 10) NLP &amp; reproducibility: Fine-tune SciBERT/ClinicalBERT for screening/extraction; annotation target 2,000 labeled records with active learning; report precision, recall, F1, and calibration. Containerize code (Docker) and publish codebook and harmonized dataset on OSF/GitHub. 11) Ablations: (a) with vs without quality-adjusted weights; (b) within-study r sensitivity at 0.40/0.60/0.80; (c) include vs exclude high-risk studies; (d) measurement-invariance pooling vs separate-group pooling; (e) with vs without privacy/regulatory moderators. 12) MASEM: run two-stage MASEM only if ≥10–15 studies supply required path correlations; otherwise report qualitative mediation.</w:t>
      </w:r>
    </w:p>
    <w:p>
      <w:r>
        <w:t xml:space="preserve"> </w:t>
      </w:r>
    </w:p>
    <w:p>
      <w:pPr>
        <w:pStyle w:val="Heading2"/>
      </w:pPr>
      <w:r>
        <w:t>Risk Factors And Limitations</w:t>
      </w:r>
    </w:p>
    <w:p>
      <w:r>
        <w:t>1) Heterogeneous measures: inconsistent item wording and scales may prevent harmonization and bias pooled estimates. 2) Metric conversion errors: converting ORs, d, and adjusted betas to r can introduce approximation error, especially when covariate sets vary. 3) Dependent effects and small k: when few studies (k&lt;20) or many correlated outcomes per study, variance estimates may be unstable; small-sample corrections may still give biased SEs. (Note: SE = standard error, a measure of estimate precision.) 4) Missing variance data: widespread missing SEs or n can force imputation that increases uncertainty and possible bias. 5) Publication and selective reporting bias: positive-result bias may inflate pooled effects; bias diagnostics can conflict and be hard to interpret when metrics are mixed. 6) Measurement invariance limits: cross-language pooling may be invalid if instruments are not equivalent, reducing generalizability. 7) NLP extraction risks: model misclassification, domain shift across journals or languages, and class imbalance can lower precision/recall. 8) Policy/regulatory coding gaps: many papers omit explicit regulatory or governance details, limiting moderator analyses. 9) Computational limits: multilevel and multiple-imputation pipelines with large annotation corpora and simulation pilots require moderate compute (≥16 CPU, ≥64 GB RAM) and may be slow. 10) Generalization: meta-analytic associations are observational summaries and cannot establish individual-level causality; results may not generalize to unstudied settings, device types, or future regulatory environments.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