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ai_ethics_syllabus_india</w:t>
      </w:r>
    </w:p>
    <w:p>
      <w:r>
        <w:t xml:space="preserve"> </w:t>
      </w:r>
    </w:p>
    <w:p>
      <w:pPr>
        <w:pStyle w:val="Heading2"/>
      </w:pPr>
      <w:r>
        <w:t>Title</w:t>
      </w:r>
    </w:p>
    <w:p>
      <w:r>
        <w:t>A stratified syllabus-level analysis of AI ethics coverage in Indian computing courses using mixed coding and lightweight NLP</w:t>
      </w:r>
    </w:p>
    <w:p>
      <w:r>
        <w:t xml:space="preserve"> </w:t>
      </w:r>
    </w:p>
    <w:p>
      <w:pPr>
        <w:pStyle w:val="Heading2"/>
      </w:pPr>
      <w:r>
        <w:t>Short Hypothesis</w:t>
      </w:r>
    </w:p>
    <w:p>
      <w:r>
        <w:t>Courses with substantial dedicated AI ethics content (&gt;30 contact hours or &gt;30% assessment weight) have at least a 20 percentage-point higher probability of containing explicit Evaluate/Create learning outcomes and aligned summative assessments than courses with introductory ethics coverage (≤10 contact hours or ≤10% assessment weight).</w:t>
      </w:r>
    </w:p>
    <w:p>
      <w:r>
        <w:t xml:space="preserve"> </w:t>
      </w:r>
    </w:p>
    <w:p>
      <w:pPr>
        <w:pStyle w:val="Heading2"/>
      </w:pPr>
      <w:r>
        <w:t>Related Work</w:t>
      </w:r>
    </w:p>
    <w:p>
      <w:r>
        <w:t>Prior work on AI ethics in computing education has used manual syllabus review, keyword searches, and small-scale audits to measure presence of ethics topics. Other efforts applied topic models or rule-based extraction to surface ethics mentions, and some studies used stratified sampling to improve representativeness. Limitations include small or convenience samples, single-coder annotations without adjudication, absent or inconsistent reliability reporting, weak handling of regional languages and non-text formats, lack of pre-registered replacement and non-response rules, minimal assessment-alignment measurement (i.e., whether outcomes link to summative tasks), and limited NLP validation (little reporting of precision/recall/F1 or thresholds for automation). These gaps reduce reproducibility, raise bias risk, and limit policy utility of prior analyses.</w:t>
      </w:r>
    </w:p>
    <w:p>
      <w:r>
        <w:t xml:space="preserve"> </w:t>
      </w:r>
    </w:p>
    <w:p>
      <w:pPr>
        <w:pStyle w:val="Heading2"/>
      </w:pPr>
      <w:r>
        <w:t>Abstract</w:t>
      </w:r>
    </w:p>
    <w:p>
      <w:r>
        <w:t>This study measures how AI ethics is taught in computing courses across leading Indian institutions by analyzing publicly available syllabi. We combine a pre-registered, stratified sample of 180–240 syllabi with a reproducible dual-coder protocol, adjudication, an immutable audit trail, and lightweight NLP to surface candidate ethics mentions. We operationalize depth categories (Introductory, Embedded, Substantial) using contact hours, assessment weight, and Bloom-aligned outcomes, and add an assessment-alignment indicator that captures whether higher-order outcomes map to summative assessments. Statistical analyses use inverse-propensity weighting, raking, and mixed-effects models with institution random effects to estimate differences across strata. A 30-syllabus pilot will validate NLP tools (target F1≥0.80) and coder reliability (target kappa≥0.70). The main contribution is a reproducible, policy-actionable measurement framework and dataset that quantifies gaps in ethics coverage and assessment alignment across regions, institution types, and program levels in India, enabling targeted curricular and policy interventions.</w:t>
      </w:r>
    </w:p>
    <w:p>
      <w:r>
        <w:t xml:space="preserve"> </w:t>
      </w:r>
    </w:p>
    <w:p>
      <w:pPr>
        <w:pStyle w:val="Heading2"/>
      </w:pPr>
      <w:r>
        <w:t>Experiments</w:t>
      </w:r>
    </w:p>
    <w:p>
      <w:r>
        <w:t>Datasets: Publicly accessible official syllabi or course outlines posted by institutions in India within the last five academic years. Sampling frame: stratified by region (North, South, East, West, Central, Northeast) × institution type (IIT/NIT, Central Univ, State Univ, Private Autonomous, Affiliated Colleges) × program level (UG/PG/short). Target N = 180–240 syllabi; primary analysis planned at N = 208 (104 per comparison group) to detect a 0.20 difference with alpha=0.05, power=0.80, assumed ICC=0.02 and average cluster size m=4 (design effect ≈1.06). Baselines: (1) naive keyword-search baseline that flags ethics mentions by keyword lists; (2) single-coder manual coding baseline; (3) no-NLP human-only pipeline. Preprocessing: OCR for non-searchable PDFs; professional translation + back-translation for regional-language syllabi; flag low-confidence OCR. Coding protocol: two independent coders per syllabus, senior adjudicator within 7 days; double-rated sample n=60 (≈30% of N) to estimate inter-rater reliability. Primary outcomes: (A) presence of Substantial coverage, (B) assessment-alignment indicator (explicit Evaluate/Create + summative assessment ≥20% weight), (C) proportion of syllabi with explicit ethics learning outcomes. Reliability metrics: Cohen's kappa and Krippendorff's alpha with 95% CIs; target ≥0.70. NLP: BERTopic for topic surfacing and rule-based NER for legal/regulatory items; fine-tune a sentence classifier (distilBERT) on pilot labels. NLP validation: pilot N=30; require label-level F1≥0.80 to use automated suggestions; allow pre-coding when precision≥0.90 and recall≥0.70; auto-finalization only when both precision and recall exceed stricter thresholds (pre-specified in registry). Analysis: mixed-effects logistic models with institution random intercepts for binary outcomes; include fixed covariates: institution type, region, program level, public/private, and language. Weighting: inverse-propensity weighting with trimming at 99th percentile and raking to margins for region, institution type, and program level. Hypothesis test: compare probability of assessment-alignment between Substantial and Introductory groups; compute design-based standard errors and cluster-robust CIs. Multiplicity: pre-specify 1 primary outcome family (assessment-alignment) and control for exploratory outcomes with Benjamini–Hochberg. Ablations: (i) with vs without NLP assistance; (ii) alternative depth thresholds (e.g., 25/25% vs 30/30%); (iii) automated pre-coding thresholds varied (precision 0.85/0.90/0.95). Sensitivity analyses: IPW vs unweighted estimates, MNAR delta-adjustments (delta range ±0.10), Lee bounds for worst-case bias, and tipping-point analysis for non-response. Reproducibility: publish codebook, 25-field CSV of redacted fields, scripts for weighting and models, and NLP model versions; log all coder IDs, timestamps, replacement actions, and adjudications in an immutable audit trail.</w:t>
      </w:r>
    </w:p>
    <w:p>
      <w:r>
        <w:t xml:space="preserve"> </w:t>
      </w:r>
    </w:p>
    <w:p>
      <w:pPr>
        <w:pStyle w:val="Heading2"/>
      </w:pPr>
      <w:r>
        <w:t>Risk Factors And Limitations</w:t>
      </w:r>
    </w:p>
    <w:p>
      <w:r>
        <w:t>OCR and translation errors causing missed or incorrect coding, especially for scanned or regional-language syllabi. Non-response bias if institutions decline to share syllabi or post non-standard documents; replacement rules may not fully recover representativeness. Measurement error from ambiguous or missing learning outcomes and assessment weight information in syllabi. Inter-rater reliability may fall below targets, requiring retraining and re-coding, increasing time and cost. NLP failure modes: low F1 on low-resource languages, domain drift, and overfitting to pilot labels. Legal and copyright constraints could limit sharing of raw syllabi and force stronger redaction that reduces analytic detail. Small cell sizes for rare strata (e.g., Northeast, affiliated colleges) may limit power for subgroup inference. Causal interpretation limits: cross-sectional syllabus data show association but cannot prove that course design causes student learning outcomes. Compute and budget limits for translation, manual adjudication, and NLP training may constrain scale and speed.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