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anion_gap_predicts_lactate_sepsis_ed</w:t>
      </w:r>
    </w:p>
    <w:p>
      <w:r>
        <w:t xml:space="preserve"> </w:t>
      </w:r>
    </w:p>
    <w:p>
      <w:pPr>
        <w:pStyle w:val="Heading2"/>
      </w:pPr>
      <w:r>
        <w:t>Title</w:t>
      </w:r>
    </w:p>
    <w:p>
      <w:r>
        <w:t>Retrospective ROC and bias‑corrected analysis of anion gap to predict elevated serum lactate in emergency department patients with sepsis without shock</w:t>
      </w:r>
    </w:p>
    <w:p>
      <w:r>
        <w:t xml:space="preserve"> </w:t>
      </w:r>
    </w:p>
    <w:p>
      <w:pPr>
        <w:pStyle w:val="Heading2"/>
      </w:pPr>
      <w:r>
        <w:t>Short Hypothesis</w:t>
      </w:r>
    </w:p>
    <w:p>
      <w:r>
        <w:t>Higher anion gap measured within one hour of ED arrival is associated with increased probability of serum lactate ≥4.0 mmol/L in adult patients meeting criteria for sepsis without shock.</w:t>
      </w:r>
    </w:p>
    <w:p>
      <w:r>
        <w:t xml:space="preserve"> </w:t>
      </w:r>
    </w:p>
    <w:p>
      <w:pPr>
        <w:pStyle w:val="Heading2"/>
      </w:pPr>
      <w:r>
        <w:t>Related Work</w:t>
      </w:r>
    </w:p>
    <w:p>
      <w:r>
        <w:t>Prior work has evaluated anion gap (AG) and albumin‑corrected anion gap (ACAG) as markers for tissue hypoperfusion and elevated lactate in sepsis using logistic regression, ROC (receiver operating characteristic) analysis, and single‑site cohorts. Studies vary in AG cutpoints and often report AUCs and sensitivity/specificity from uncorrected samples. Key limitations across existing approaches are selective lactate ordering (verification bias) that can distort sensitivity estimates, inconsistent handling of missing albumin, limited external or temporal validation, heterogeneity from point‑of‑care (POCT) versus central lab assays, small event counts for very high lactate (≥4 mmol/L), and few studies that prespecify measurement harmonization or robust bias‑correction methods. These gaps limit reproducibility and the ability to define operational AG/ACAG thresholds suitable for ED decision support.</w:t>
      </w:r>
    </w:p>
    <w:p>
      <w:r>
        <w:t xml:space="preserve"> </w:t>
      </w:r>
    </w:p>
    <w:p>
      <w:pPr>
        <w:pStyle w:val="Heading2"/>
      </w:pPr>
      <w:r>
        <w:t>Abstract</w:t>
      </w:r>
    </w:p>
    <w:p>
      <w:r>
        <w:t>Problem: In the emergency department (ED), rapid identification of patients with sepsis and elevated lactate is critical, but lactate is ordered selectively and may be delayed. Approach: We will perform a retrospective, multi‑site ED cohort study evaluating whether anion gap (AG) and albumin‑corrected AG (ACAG) measured within one hour predict serum lactate ≥4.0 mmol/L. We will use ROC analysis to derive and lock AG/ACAG thresholds in a derivation set (first 80% by time) and evaluate them in a temporal holdout (last 20%) and external sites. To address selective testing, we will estimate lactate‑order probability and apply double‑robust targeted maximum likelihood estimation (TMLE) combined with stabilized inverse‑probability weighting (IPW). Missing albumin will be handled by multiple imputation (MICE) with preplanned MNAR sensitivity grids. Main contribution: a prespecified, bias‑corrected validation of AG/ACAG cutpoints with reproducible ETL, explicit lab harmonization, and operational thresholds for ED screening. Expected impact: provide transparent, validated AG/ACAG rules that can reduce missed high‑lactate cases and inform pragmatic pilot alerts in the ED. (ACAG = albumin‑corrected anion gap; ROC = plot of sensitivity vs 1−specificity.)</w:t>
      </w:r>
    </w:p>
    <w:p>
      <w:r>
        <w:t xml:space="preserve"> </w:t>
      </w:r>
    </w:p>
    <w:p>
      <w:pPr>
        <w:pStyle w:val="Heading2"/>
      </w:pPr>
      <w:r>
        <w:t>Experiments</w:t>
      </w:r>
    </w:p>
    <w:p>
      <w:r>
        <w:t>Datasets: retrospective ED encounters from at least 2 hospitals (one derivation + one external validation); time span sufficient to collect 1,500–3,000 encounters. Inclusion: adults ≥18, suspected infection (antibiotic + blood culture in ED), acute organ dysfunction (SOFA Δ≥2 or qSOFA≥2), no ED vasopressors, SBP≥90 on arrival. Index labs: first BMP (for AG), albumin, and first lactate after arrival. Primary window: all three within ≤1 hour; secondary window ≤3 hours. Baselines: (1) fixed rule AG&gt;18 and ACAG&gt;18 (prespecified); (2) AG thresholds ≥12 and ≥14; (3) multivariable logistic regression predicting lactate≥4 using AG, ACAG, age, creatinine, vitals; (4) clinician ordering model output (uncorrected). Main model: TMLE with stabilized IPW correction for selective lactate ordering. TMLE implementation: initial learner library = generalized linear model (GLM), GLM with splines (3 knots for age and SBP), random forest, gradient boosting (XGBoost), and mean; SuperLearner with 10-fold cross‑validation to combine learners; fluctuation step using logistic regression. Threshold derivation: in derivation set use nested 5×10-fold CV and 2000 bootstrap resamples to estimate Youden thresholds and variability; lock thresholds before validation. Missing data: MICE with ≥20 imputations, predictors include outcome and strong lab/vital covariates; pool estimates with Rubin’s rules. MNAR sensitivity: pattern‑mixture delta shifts for albumin from −1.0 to +1.0 g/dL in 0.25 g/dL steps. Verification‑bias simulation: Monte Carlo varying lactate prevalence (2%,5%,10%,15%), ordering probability models (logistic with specified covariates and interactions), and missingness mechanisms (MCAR/MAR/MNAR) to evaluate IPW/TMLE bias correction and truncation rules (no truncation, cap at 10, cap at 5). Evaluation metrics: primary = sensitivity for lactate≥4 (target ≥90%); secondary = specificity, PPV, NPV, ROC AUC with DeLong CIs, calibration plots, decision‑curve net benefit, IPW‑adjusted effective sample size, and variance via nonparametric bootstrap (clustered by site) pooled across imputations. Ablations/comparisons: (A) complete‑case vs MICE vs MNAR; (B) TMLE vs AIPW vs unadjusted estimates; (C) weight truncation strategies; (D) POCT vs central lab specimen stratified performance; (E) external temporal holdout and external‑site validation.</w:t>
      </w:r>
    </w:p>
    <w:p>
      <w:r>
        <w:t xml:space="preserve"> </w:t>
      </w:r>
    </w:p>
    <w:p>
      <w:pPr>
        <w:pStyle w:val="Heading2"/>
      </w:pPr>
      <w:r>
        <w:t>Risk Factors And Limitations</w:t>
      </w:r>
    </w:p>
    <w:p>
      <w:r>
        <w:t>Verification bias: residual bias if lactate ordering model misses key predictors or if model mis‑specifies interactions. Small event counts: low prevalence of lactate≥4 may yield wide CIs even after IPW, limiting precision. Missing albumin: MNAR missingness could change ACAG performance; delta shifts may not fully capture real mechanisms. Measurement heterogeneity: POCT vs central lab and specimen type differences can cause systematic bias; inter‑lab CVs may exceed acceptable thresholds. Pre‑analytical effects: IV fluids, bicarbonate, insulin, or delayed sampling can alter AG and lactate values and cause misclassification. EHR data quality: timestamp errors, coding variation, and incomplete medication/procedure capture can bias inclusion/exclusion and covariates. Generalizability: results from participating sites may not transfer to other ED settings or to patients outside prespecified phenotype. Computational limits: TMLE with SuperLearner and multiple imputation plus bootstrap is compute‑intensive. Causal assumptions: TMLE/IPW rely on no unmeasured confounding for ordering; strong unobserved confounders could invalidate correction.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