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triherbal_thromboinflammation_dm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Evaluation of a 1:1:1 aqueous extract of Moringa oleifera, Ocimum gratissimum, and Vernonia amygdalina for reduction of thromboinflammation markers in streptozotocin-induced diabetic rats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Oral administration of a 1:1:1 blended aqueous extract of Moringa oleifera, Ocimum gratissimum, and Vernonia amygdalina for 28 days reduces thromboinflammation in streptozotocin-induced diabetic rats, producing ≥25% increase in arterial occlusion time and ≥30% reduction in thrombus weight versus vehicle, with concordant decreases in platelet activation and NET markers.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work has tested single herb or single-extract preparations for anti-diabetic and anti-thrombotic effects using animal thrombosis models, platelet aggregation assays, and inflammatory markers. Common limitations are: lack of standardized chemical markers across batches, insufficient pharmacokinetic (PK) data linking exposure to effect, small or single-sex cohorts, limited mechanistic assays for neutrophil extracellular traps (NETs) and endothelial activation, inadequate toxicology (non-GLP or short duration), and scarce inter-laboratory validation. Existing studies often report activity without dose–response confirmation or rigorous criteria (e.g., occlusion time plus thrombus weight) and rarely assess herb–drug interaction potential or metabolite contributions.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Diabetes increases blood clotting and sterile inflammation (together called thromboinflammation), raising risk of vascular events. We will test whether a blended aqueous extract (1:1:1) of Moringa oleifera, Ocimum gratissimum, and Vernonia amygdalina reduces thromboinflammation in streptozotocin-induced diabetic rats. The approach combines standardized botanical chemistry (defined marker panel), validated bioanalysis, PK/PD sampling, and an integrated biology panel: arterial occlusion time, thrombus weight, platelet function, NET quantitation, thrombin generation, and cytokines. Primary contribution: a prespecified, testable pipeline linking standardized extract exposure to co-primary vascular efficacy endpoints with explicit go/no-go thresholds. Expected outcome: evidence whether the blended extract produces biologically meaningful anti-thromboinflammatory effects at tolerable safety margins and which markers correlate with efficacy, informing fractionation, mechanism pilots, and regulatory‑grade toxicology planning. Technical terms: occlusion time is the time until a blood vessel is blocked; NETs are DNA webs released by neutrophils that promote clotting.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Animals and groups: male and female Sprague–Dawley rats, STZ-induced diabetes (primary model). Randomized groups: healthy vehicle (n=10 pooled sexes), diabetic vehicle, blended extract low/medium/high (e.g., 50, 150, 300 mg/kg) each group, individual herb extracts at 150 mg/kg (three groups), positive controls aspirin (low dose) and heparin (anticoagulant), total groups ≈9–10. Target n: 10 animals per sex per group if budget permits; otherwise n=8–12 pooled with sex as covariate. Treatment: oral gavage daily for 28 days. Acute toxicity: Lorke method prior to efficacy. PK: microsampling at pre, 0.25, 0.5, 1, 2, 4, 8, 12, 24 h after first dose; trough and 1 h/4 h at steady state (day 14–21). Bioanalysis: validated LC‑MS/MS per marker with marker‑specific LLOQs. Primary endpoints: FeCl3 carotid occlusion time (Kaplan–Meier, log‑rank) and thrombus wet weight at sacrifice. Secondary endpoints: platelet aggregation (LTA or whole-blood impedance) to ADP/collagen, flow cytometry P‑selectin+ platelets, CAT thrombin generation (peak, ETP), NET markers (MPO‑DNA ELISA and citH3), cytokines (IL‑6, TNF‑α), TEG/ROTEM, PT/aPTT, and basic clinical chemistry. Timepoints: baseline, mid-treatment (day 14), terminal (day 28). Baselines/datasets: recorded raw data (CSV), flow cytometry (FCS), MS raw/mzML. Baselines for comparison: diabetic vehicle and healthy vehicle. Statistical analysis: co-primary test requires ≥25% occlusion time increase and ≥30% thrombus weight reduction with dose–response across ≥2 doses (Kaplan–Meier/log‑rank and ANOVA or mixed models); mixed‑effects models for repeated measures, multiplicity control by hierarchical testing and Holm/FDR for secondary panels. Ablation/Mechanistic pilot: if primary thresholds met, run PAD4 inhibitor (e.g., GSK484) or neutrophil depletion (anti‑Ly6G) pilot (n=6/group) to test NET dependence. Comparison/ablation study: blended extract versus each single herb and dose–response (primary comparison), and blended extract plus PAD4 inhibition (mechanistic ablation). Evaluation metrics: percent change, hazard ratio, p‑values, Cohen's d, interlab CV% for replicated assays. Data handling: preregistered SAP, blinded outcome assessment, interlab blinded replicate prior to fractionation.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Botanical variability: source, harvest time, plant part, and post-harvest processing can change marker content and activity, limiting reproducibility. Bioanalysis feasibility: achieving LLOQ ≤1 ng/mL for all markers in plasma/tissue may be unrealistic; marker-specific limits may be required. Metabolites: active metabolites may be unmeasured, confounding exposure–response linking. Sample volume limits: microsampling cumulative blood volume may constrain PK timepoints in small animals. Assay variability: immunoassays and NET quantitation can have high inter-assay variability and require strict QC. Safety risk: herbal blends may increase bleeding tendency or interact with anticoagulant pathways. Statistical power: sex-interaction tests require larger n; budget limits may underpower subgroup analyses. GLP and regulatory scaling: GLP toxicology and non-rodent studies are resource-intensive and may delay progression. Translational uncertainty: effects in rat models may not predict human outcomes due to species differences in metabolism and coagulation.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