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fcm_trust_cds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Quantifying clinicians' perceived trust in interpretable COVID-19 diagnostic clinical decision support using fuzzy cognitive maps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Clinicians who receive explanations elicited and aggregated via fuzzy cognitive maps will have a higher latent trust score (&gt;= 0.4 standard deviations) than clinicians who receive no explanation.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trust in interpretable clinical decision support has applied subjective surveys, behavioral measures (acceptance, overrides), and model calibration metrics independently. Explainable AI studies compare attribution, counterfactual, and rule-based explanations but rarely enforce information parity across modalities. Psychometric approaches for trust typically rely on ad-hoc scales without graded-response item modeling or integration with behavioral and calibration signals. Synthetic-data and differential-privacy work for EHRs often report univariate fidelity tests and broad privacy budgets without attacker-model driven risk analysis or multivariate fidelity metrics. Existing causal mediation studies linking explanations to clinician behavior commonly do not preplan instrumental-variable or negative-control analyses to address mediator–outcome confounding. These gaps leave open the problem of a validated, composite, and attack-aware method to elicit and quantify clinician mental models of trust for interpretable CDS.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method to assess and quantify clinicians' perceived trust in an interpretable machine-learning clinical decision support (CDS) system for COVID-19 diagnosis. The method elicits clinicians' mental models using fuzzy cognitive maps (FCMs, simple directed graphs with weighted edges representing clinicians' beliefs about causal influence) and converts those maps into a quantitative trust profile. We combine three domains into a composite trust index: subjective responses modeled by graded-response item response theory (IRT; a way to model how survey items relate to an underlying trait), behavioral reliance measures (acceptance/override and time-to-decision), and calibration (agreement between reported trust and empirical model accuracy measured by Brier score and calibration slope). We validate the quantified perceived trust using a degree-of-agreement metric that compares FCM-derived weights to model-derived explanation importance. Expected outcomes include a reproducible pipeline to elicit clinician trust, a validated composite trust index, and empirical comparisons of explanation modalities on trust and adherence.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de-identified EHR encounter records for adult ED patients with suspected COVID-19 diagnosis triggers; stratify by acuity and Charlson comorbidity tertiles. Sample sizes: within-subject pilot: N=30 clinicians per site; target multi-site pilot: ~60 clinicians and ~600 clinician-case observations. Baselines: (1) no-explanation, (2) feature-attribution (SHAP with bootstrap uncertainty), (3) constrained counterfactuals (DiCE-style), (4) rule-based guideline summary. Evaluation metrics: primary — latent trust score (derived via graded-response IRT on 12–15 items combined with behavioral and calibration domains in an SEM/Bayesian hierarchical model); primary — adherence (binary: followed CDS recommendation). Secondary — time-to-decision (seconds), NASA-TLX cognitive workload (numeric), calibration: Brier score and calibration slope, faithfulness (deletion AUC), stability (perturbation SD). Degree-of-agreement validation: compute Spearman rank correlation and normalized cosine similarity between clinician FCM edge-weight rankings and model-derived feature-importance ranking per case; report mean and 95% CI. Experimental setup: within-subject Latin-square counterbalanced assignment of four modalities with 24–48 h washout blocks; each case annotated by three clinicians with 2-person adjudication. Statistical models: linear mixed-effects for latent trust (fixed: modality, order, case difficulty; random intercepts for clinician and case), GLMM (logit) for adherence; mediation analysis via randomized-treatment causal mediation and SEM; multiplicity: predefine one primary trust endpoint and one primary adherence endpoint and control familywise error with Holm correction. Ablations: (A) composite index vs subjective-only index; (B) weighting methods: equal-weight z-sum vs SEM-derived vs Bayesian posterior weights; (C) exclude calibration domain to measure impact on latent score. Power and simulations: provide Monte-Carlo code varying ICC in {0.01,0.03,0.05,0.1}, missingness rates in {5%,15%,30%}, and effect sizes d in {0.3,0.4,0.5} to reproduce sample-size claims.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High-dimensional DP risk: selecting epsilon without attacker-model analysis may under- or over-estimate re-identification risk. Synthetic-data fidelity: univariate tests are insufficient for joint distributions; multivariate drift may remain undetected. Membership-inference thresholds: acceptable attack success depends on attacker capability; flat pass/fail criteria may be arbitrary. Annotation noise: low inter-rater reliability will bias latent estimates and increase required sample size. Clinician burden and washout feasibility: 24–48 h gaps may reduce recruitment or introduce attrition. Mediation identification: unmeasured mediator–outcome confounding may invalidate causal mediation estimates. Explainability parity: matching information budgets across modalities is difficult and residual non-equivalence may confound comparisons. Limited generalization: results from COVID-19 ED cases may not transfer to other conditions or care settings. Compute and scalability: IRT, SEM, Bayesian hierarchical models and privacy-preserving synthesizers may require substantial compute and engineering effort. Missing-not-at-random (MNAR) patterns: if present, standard imputation will be biased and require selection-model sensitivity analyses.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