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pos_annotation_anomaly_detection</w:t>
      </w:r>
    </w:p>
    <w:p>
      <w:r>
        <w:t xml:space="preserve"> </w:t>
      </w:r>
    </w:p>
    <w:p>
      <w:pPr>
        <w:pStyle w:val="Heading2"/>
      </w:pPr>
      <w:r>
        <w:t>Title</w:t>
      </w:r>
    </w:p>
    <w:p>
      <w:r>
        <w:t>Probability-distribution-based anomaly detection for identifying annotation errors in part-of-speech tagged corpora</w:t>
      </w:r>
    </w:p>
    <w:p>
      <w:r>
        <w:t xml:space="preserve"> </w:t>
      </w:r>
    </w:p>
    <w:p>
      <w:pPr>
        <w:pStyle w:val="Heading2"/>
      </w:pPr>
      <w:r>
        <w:t>Short Hypothesis</w:t>
      </w:r>
    </w:p>
    <w:p>
      <w:r>
        <w:t>Training a probabilistic anomaly detector on correctly annotated elements of a POS-tagged corpus and flagging low-probability elements will increase span-level micro F1 (IOU&gt;=0.5) for annotation-error detection by at least 0.05 compared to rule-based and LM-surprisal baselines on the same test split.</w:t>
      </w:r>
    </w:p>
    <w:p>
      <w:r>
        <w:t xml:space="preserve"> </w:t>
      </w:r>
    </w:p>
    <w:p>
      <w:pPr>
        <w:pStyle w:val="Heading2"/>
      </w:pPr>
      <w:r>
        <w:t>Related Work</w:t>
      </w:r>
    </w:p>
    <w:p>
      <w:r>
        <w:t>Existing approaches to annotation-error detection rely on rule-based heuristics (e.g., spelling or OCR confusion maps), surprisal from n-gram or neural language models (LM surprisal measures how unexpected a token is), and unsupervised density estimators (e.g., Gaussian mixtures or autoencoders) for outlier scoring. Recent work applies anomaly detection in high-stakes domains like healthcare using large pretrained models for feature extraction. Limitations in prior methods include: (1) coarse token-level anomaly scores that do not map cleanly to span-level annotation errors, (2) detectors that are sensitive to synthetic injection artifacts and thus fail realism tests, (3) inadequate leakage controls and deduplication that inflate apparent performance, and (4) absence of a reproducible evaluation that combines IOU-based span scoring, calibration (ECE), and cost-weighted metrics. Prior active-learning integrations are often under-specified for multi-label span annotations and do not report label-efficiency curves under realistic warm-starts.</w:t>
      </w:r>
    </w:p>
    <w:p>
      <w:r>
        <w:t xml:space="preserve"> </w:t>
      </w:r>
    </w:p>
    <w:p>
      <w:pPr>
        <w:pStyle w:val="Heading2"/>
      </w:pPr>
      <w:r>
        <w:t>Abstract</w:t>
      </w:r>
    </w:p>
    <w:p>
      <w:r>
        <w:t>We present a reproducible pipeline that fits probability distributions over elements of a manually annotated part-of-speech (POS) corpus and uses anomaly detection to flag likely annotation errors. The method models token- and span-level features (orthography, local context, POS-tag patterns, and learned embeddings) to assign probabilistic scores; low-probability items are treated as anomalies. Main contributions are: (1) a distributional anomaly-detection framework tailored to span-level annotation errors; (2) a realism-validation suite for synthetic error injection (distributional, detector-behavior, and human-blind tests); and (3) an evaluation protocol with IOU-based span metrics, calibration (ECE), and cost-weighted scoring. We benchmark rule-based, n-gram surprisal, LM-surprisal, and one-class density baselines, and measure annotation efficiency under active-learning acquisition strategies. Expected outcomes include higher-precision automatic flagging of annotation errors, reduction in manual adjudication load, and a clear pre-registered evaluation for downstream reuse of corrected corpora.</w:t>
      </w:r>
    </w:p>
    <w:p>
      <w:r>
        <w:t xml:space="preserve"> </w:t>
      </w:r>
    </w:p>
    <w:p>
      <w:pPr>
        <w:pStyle w:val="Heading2"/>
      </w:pPr>
      <w:r>
        <w:t>Experiments</w:t>
      </w:r>
    </w:p>
    <w:p>
      <w:r>
        <w:t>Datasets: Penn Treebank POS-tagged corpus; construct gold pilots: Expert pilot = 200 documents (~1,000–1,500 sentences), Expanded pilot = 1,000 documents (~5,000–7,000 sentences). Maintain time-based splits and group-level deduplication (MinHash/shingle Jaccard threshold 0.90). Baselines: (A) rule-based spelling/OCR confusion maps, (B) n-gram surprisal thresholds, (C) token-level neural LM surprisal, (D) one-class density estimators on handcrafted features (e.g., Gaussian Mixture Model), (E) embedding-density models (autoencoder or Mahalanobis on RoBERTa-base embeddings). Proposed method: probabilistic model combining local features + embedding density to yield token/span anomaly scores and aggregated document scores. Evaluation metrics: primary = span-level micro F1 at IOU&gt;=0.5 (IOU = overlap length / union length), secondary = span F1 IOU&gt;=0.25, token-F1, AUROC, AUPRC, Expected Calibration Error (ECE), and cost-weighted F1 (severity-weighted). Statistical tests: paired bootstrap 95% CI on primary metric, Wilcoxon signed-rank or McNemar for pairwise comparisons; pre-register primary comparison. Ablations: remove metadata features, remove orthographic features, use embeddings-only vs features-only models. Synthetic-realism validation: measure char/word n-gram KL divergence (&lt;0.1 target), detector-behavior top-k overlap (Jaccard) and AP correlation (target r&gt;=0.6), and human blind test (sample sizes pre-registered). Active learning study: warm-start 200 labeled docs, batch sizes 50–200, compare random sampling, uncertainty×density (uncertainty=entropy), and ensemble disagreement (BALD); report label-efficiency curves (F1 vs labeled count) with 95% bootstrap CIs. Reproducibility: fix random seeds, containerize runs, record checkpoints; seed compute: 1–2 GPUs (V100/A100) per run and 50–200 GB storage.</w:t>
      </w:r>
    </w:p>
    <w:p>
      <w:r>
        <w:t xml:space="preserve"> </w:t>
      </w:r>
    </w:p>
    <w:p>
      <w:pPr>
        <w:pStyle w:val="Heading2"/>
      </w:pPr>
      <w:r>
        <w:t>Risk Factors And Limitations</w:t>
      </w:r>
    </w:p>
    <w:p>
      <w:r>
        <w:t>Technical failure modes: synthetic error injections may leave artifacts causing detectors to exploit injection signals rather than true annotation errors; anomaly models may overfit domain idiosyncrasies and surface many false positives. Data and evaluation biases: spans are clustered within documents (span correlation), so naive span resampling inflates significance; pilots may underrepresent rare error classes. Scalability and compute: some density estimators or ensemble methods require substantial GPU/CPU and storage, limiting repeated calibration. Generalization: models trained on Penn Treebank news text may not transfer to other genres or languages. Privacy and legal constraints: PII or licensing restrictions may prevent full public release of raw data, limiting reproducibility of exact experiments. Active-learning limits: acquisition biases can skew labeled sets and reduce representativeness. Metric ambiguity: IOU-based span matching and severity-to-cost mappings require exact pre-registration; otherwise comparisons are not reproducible.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